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2E9" w14:textId="052D1DEE" w:rsidR="0048171D" w:rsidRDefault="00095F19" w:rsidP="00F74233">
      <w:pPr>
        <w:spacing w:after="0" w:line="280" w:lineRule="atLeast"/>
        <w:rPr>
          <w:rFonts w:ascii="Arial" w:eastAsiaTheme="majorEastAsia" w:hAnsi="Arial" w:cs="Arial"/>
          <w:b/>
          <w:bCs/>
          <w:sz w:val="28"/>
          <w:szCs w:val="28"/>
        </w:rPr>
      </w:pPr>
      <w:r w:rsidRPr="00095F19">
        <w:rPr>
          <w:rFonts w:ascii="Arial" w:eastAsiaTheme="majorEastAsia" w:hAnsi="Arial" w:cs="Arial"/>
          <w:b/>
          <w:bCs/>
          <w:sz w:val="28"/>
          <w:szCs w:val="28"/>
        </w:rPr>
        <w:t xml:space="preserve">Bilag </w:t>
      </w:r>
      <w:r w:rsidR="00050928">
        <w:rPr>
          <w:rFonts w:ascii="Arial" w:eastAsiaTheme="majorEastAsia" w:hAnsi="Arial" w:cs="Arial"/>
          <w:b/>
          <w:bCs/>
          <w:sz w:val="28"/>
          <w:szCs w:val="28"/>
        </w:rPr>
        <w:t>3</w:t>
      </w:r>
      <w:r w:rsidR="00B25385">
        <w:rPr>
          <w:rFonts w:ascii="Arial" w:eastAsiaTheme="majorEastAsia" w:hAnsi="Arial" w:cs="Arial"/>
          <w:b/>
          <w:bCs/>
          <w:sz w:val="28"/>
          <w:szCs w:val="28"/>
        </w:rPr>
        <w:t>.1</w:t>
      </w:r>
      <w:r w:rsidRPr="00095F19">
        <w:rPr>
          <w:rFonts w:ascii="Arial" w:eastAsiaTheme="majorEastAsia" w:hAnsi="Arial" w:cs="Arial"/>
          <w:b/>
          <w:bCs/>
          <w:sz w:val="28"/>
          <w:szCs w:val="28"/>
        </w:rPr>
        <w:t>:</w:t>
      </w:r>
      <w:r w:rsidR="00AE7605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="00E57CE1" w:rsidRPr="00095F19">
        <w:rPr>
          <w:rFonts w:ascii="Arial" w:eastAsiaTheme="majorEastAsia" w:hAnsi="Arial" w:cs="Arial"/>
          <w:b/>
          <w:bCs/>
          <w:sz w:val="28"/>
          <w:szCs w:val="28"/>
        </w:rPr>
        <w:t xml:space="preserve">Budget </w:t>
      </w:r>
      <w:r w:rsidRPr="00095F19">
        <w:rPr>
          <w:rFonts w:ascii="Arial" w:eastAsiaTheme="majorEastAsia" w:hAnsi="Arial" w:cs="Arial"/>
          <w:b/>
          <w:bCs/>
          <w:sz w:val="28"/>
          <w:szCs w:val="28"/>
        </w:rPr>
        <w:t xml:space="preserve">og finansiering </w:t>
      </w:r>
      <w:r w:rsidR="00E57CE1" w:rsidRPr="00095F19">
        <w:rPr>
          <w:rFonts w:ascii="Arial" w:eastAsiaTheme="majorEastAsia" w:hAnsi="Arial" w:cs="Arial"/>
          <w:b/>
          <w:bCs/>
          <w:sz w:val="28"/>
          <w:szCs w:val="28"/>
        </w:rPr>
        <w:t>202</w:t>
      </w:r>
      <w:r w:rsidR="00263C06">
        <w:rPr>
          <w:rFonts w:ascii="Arial" w:eastAsiaTheme="majorEastAsia" w:hAnsi="Arial" w:cs="Arial"/>
          <w:b/>
          <w:bCs/>
          <w:sz w:val="28"/>
          <w:szCs w:val="28"/>
        </w:rPr>
        <w:t>4</w:t>
      </w:r>
    </w:p>
    <w:p w14:paraId="0B45D96E" w14:textId="77777777" w:rsidR="00DA666B" w:rsidRDefault="00DA666B" w:rsidP="00F74233">
      <w:pPr>
        <w:spacing w:after="0" w:line="280" w:lineRule="atLeast"/>
        <w:rPr>
          <w:rFonts w:ascii="Arial" w:eastAsiaTheme="majorEastAsia" w:hAnsi="Arial" w:cs="Arial"/>
          <w:b/>
          <w:bCs/>
          <w:sz w:val="28"/>
          <w:szCs w:val="28"/>
        </w:rPr>
      </w:pPr>
    </w:p>
    <w:p w14:paraId="08CABFD5" w14:textId="36949556" w:rsidR="00A23870" w:rsidRDefault="00A23870" w:rsidP="00F74233">
      <w:pPr>
        <w:spacing w:after="0" w:line="280" w:lineRule="atLeast"/>
        <w:rPr>
          <w:rFonts w:ascii="Georgia" w:hAnsi="Georgia" w:cs="Arial"/>
          <w:b/>
          <w:bCs/>
          <w:sz w:val="24"/>
          <w:szCs w:val="24"/>
        </w:rPr>
      </w:pPr>
      <w:r w:rsidRPr="008529F0">
        <w:rPr>
          <w:rFonts w:ascii="Georgia" w:hAnsi="Georgia" w:cs="Arial"/>
          <w:b/>
          <w:bCs/>
          <w:sz w:val="24"/>
          <w:szCs w:val="24"/>
        </w:rPr>
        <w:t>Baggrund</w:t>
      </w:r>
    </w:p>
    <w:p w14:paraId="29747CA2" w14:textId="03A0C9F2" w:rsidR="00BA5C93" w:rsidRPr="008529F0" w:rsidRDefault="00D1745A" w:rsidP="00F74233">
      <w:pPr>
        <w:spacing w:after="0" w:line="280" w:lineRule="atLeas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”</w:t>
      </w:r>
      <w:r w:rsidR="00644426">
        <w:rPr>
          <w:rFonts w:ascii="Georgia" w:hAnsi="Georgia"/>
          <w:sz w:val="20"/>
        </w:rPr>
        <w:t xml:space="preserve">Strategisk </w:t>
      </w:r>
      <w:r w:rsidR="00F74233">
        <w:rPr>
          <w:rFonts w:ascii="Georgia" w:hAnsi="Georgia"/>
          <w:sz w:val="20"/>
        </w:rPr>
        <w:t>P</w:t>
      </w:r>
      <w:r w:rsidR="00644426">
        <w:rPr>
          <w:rFonts w:ascii="Georgia" w:hAnsi="Georgia"/>
          <w:sz w:val="20"/>
        </w:rPr>
        <w:t xml:space="preserve">artnerskab om </w:t>
      </w:r>
      <w:r w:rsidR="00F74233">
        <w:rPr>
          <w:rFonts w:ascii="Georgia" w:hAnsi="Georgia"/>
          <w:sz w:val="20"/>
        </w:rPr>
        <w:t>U</w:t>
      </w:r>
      <w:r w:rsidR="00644426">
        <w:rPr>
          <w:rFonts w:ascii="Georgia" w:hAnsi="Georgia"/>
          <w:sz w:val="20"/>
        </w:rPr>
        <w:t>ddannels</w:t>
      </w:r>
      <w:r>
        <w:rPr>
          <w:rFonts w:ascii="Georgia" w:hAnsi="Georgia"/>
          <w:sz w:val="20"/>
        </w:rPr>
        <w:t>e</w:t>
      </w:r>
      <w:r w:rsidR="00F74233">
        <w:rPr>
          <w:rFonts w:ascii="Georgia" w:hAnsi="Georgia"/>
          <w:sz w:val="20"/>
        </w:rPr>
        <w:t>”</w:t>
      </w:r>
      <w:r w:rsidR="00644426">
        <w:rPr>
          <w:rFonts w:ascii="Georgia" w:hAnsi="Georgia"/>
          <w:sz w:val="20"/>
        </w:rPr>
        <w:t xml:space="preserve"> finansieres af hovedstadens 29 kommuner, Region H, SOSU H, KP, Diakonissestiftelsen og Bornholms Sundheds- og Sygeplejeskole. Finansieringen dækker omkostningerne</w:t>
      </w:r>
      <w:r w:rsidR="007F4E43">
        <w:rPr>
          <w:rFonts w:ascii="Georgia" w:hAnsi="Georgia"/>
          <w:sz w:val="20"/>
        </w:rPr>
        <w:t xml:space="preserve"> til drift af evalueringer, analyser </w:t>
      </w:r>
      <w:r w:rsidR="00644426">
        <w:rPr>
          <w:rFonts w:ascii="Georgia" w:hAnsi="Georgia"/>
          <w:sz w:val="20"/>
        </w:rPr>
        <w:t>og rapporter,</w:t>
      </w:r>
      <w:r w:rsidR="007F4E43">
        <w:rPr>
          <w:rFonts w:ascii="Georgia" w:hAnsi="Georgia"/>
          <w:sz w:val="20"/>
        </w:rPr>
        <w:t xml:space="preserve"> sekretariatsbetjening</w:t>
      </w:r>
      <w:r w:rsidR="00644426">
        <w:rPr>
          <w:rFonts w:ascii="Georgia" w:hAnsi="Georgia"/>
          <w:sz w:val="20"/>
        </w:rPr>
        <w:t xml:space="preserve"> </w:t>
      </w:r>
      <w:r w:rsidR="00105515">
        <w:rPr>
          <w:rFonts w:ascii="Georgia" w:hAnsi="Georgia"/>
          <w:sz w:val="20"/>
        </w:rPr>
        <w:t>samt</w:t>
      </w:r>
      <w:r w:rsidR="00644426">
        <w:rPr>
          <w:rFonts w:ascii="Georgia" w:hAnsi="Georgia"/>
          <w:sz w:val="20"/>
        </w:rPr>
        <w:t xml:space="preserve"> afholdelse af møder og arrangementer </w:t>
      </w:r>
      <w:r w:rsidR="00435A4A">
        <w:rPr>
          <w:rFonts w:ascii="Georgia" w:hAnsi="Georgia"/>
          <w:sz w:val="20"/>
        </w:rPr>
        <w:t xml:space="preserve">jf. </w:t>
      </w:r>
      <w:r w:rsidR="00B25385" w:rsidRPr="00B25385">
        <w:rPr>
          <w:rFonts w:ascii="Georgia" w:hAnsi="Georgia"/>
          <w:sz w:val="20"/>
        </w:rPr>
        <w:t xml:space="preserve">Kommissorium for </w:t>
      </w:r>
      <w:r>
        <w:rPr>
          <w:rFonts w:ascii="Georgia" w:hAnsi="Georgia"/>
          <w:sz w:val="20"/>
        </w:rPr>
        <w:t>”</w:t>
      </w:r>
      <w:r w:rsidR="00B25385" w:rsidRPr="00B25385">
        <w:rPr>
          <w:rFonts w:ascii="Georgia" w:hAnsi="Georgia"/>
          <w:sz w:val="20"/>
        </w:rPr>
        <w:t>Strategisk Partnerskab om Uddannelse</w:t>
      </w:r>
      <w:r>
        <w:rPr>
          <w:rFonts w:ascii="Georgia" w:hAnsi="Georgia"/>
          <w:sz w:val="20"/>
        </w:rPr>
        <w:t>”</w:t>
      </w:r>
      <w:r w:rsidR="00AC4E8F">
        <w:rPr>
          <w:rFonts w:ascii="Georgia" w:hAnsi="Georgia"/>
          <w:sz w:val="20"/>
        </w:rPr>
        <w:t xml:space="preserve">, </w:t>
      </w:r>
      <w:r w:rsidR="00CA05D1">
        <w:rPr>
          <w:rFonts w:ascii="Georgia" w:hAnsi="Georgia"/>
          <w:sz w:val="20"/>
        </w:rPr>
        <w:t>august</w:t>
      </w:r>
      <w:r w:rsidR="00AC4E8F">
        <w:rPr>
          <w:rFonts w:ascii="Georgia" w:hAnsi="Georgia"/>
          <w:sz w:val="20"/>
        </w:rPr>
        <w:t xml:space="preserve"> 2022.</w:t>
      </w:r>
      <w:r w:rsidR="000135CB">
        <w:rPr>
          <w:rFonts w:ascii="Georgia" w:hAnsi="Georgia"/>
          <w:sz w:val="20"/>
        </w:rPr>
        <w:t xml:space="preserve"> </w:t>
      </w:r>
    </w:p>
    <w:p w14:paraId="181B2ACA" w14:textId="77777777" w:rsidR="00752AA8" w:rsidRPr="00752AA8" w:rsidRDefault="00752AA8" w:rsidP="00F74233">
      <w:pPr>
        <w:spacing w:after="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3A792343" w14:textId="18C22213" w:rsidR="00D95513" w:rsidRDefault="00752AA8" w:rsidP="00F74233">
      <w:pPr>
        <w:spacing w:after="0" w:line="280" w:lineRule="atLeast"/>
        <w:rPr>
          <w:rFonts w:ascii="Georgia" w:hAnsi="Georgia" w:cs="Arial"/>
          <w:b/>
          <w:bCs/>
          <w:sz w:val="24"/>
          <w:szCs w:val="24"/>
        </w:rPr>
      </w:pPr>
      <w:r w:rsidRPr="008529F0">
        <w:rPr>
          <w:rFonts w:ascii="Georgia" w:hAnsi="Georgia" w:cs="Arial"/>
          <w:b/>
          <w:bCs/>
          <w:sz w:val="24"/>
          <w:szCs w:val="24"/>
        </w:rPr>
        <w:t>Budget</w:t>
      </w:r>
      <w:r w:rsidR="00A57F37">
        <w:rPr>
          <w:rFonts w:ascii="Georgia" w:hAnsi="Georgia" w:cs="Arial"/>
          <w:b/>
          <w:bCs/>
          <w:sz w:val="24"/>
          <w:szCs w:val="24"/>
        </w:rPr>
        <w:t>opgørelse 202</w:t>
      </w:r>
      <w:r w:rsidR="00263C06">
        <w:rPr>
          <w:rFonts w:ascii="Georgia" w:hAnsi="Georgia" w:cs="Arial"/>
          <w:b/>
          <w:bCs/>
          <w:sz w:val="24"/>
          <w:szCs w:val="24"/>
        </w:rPr>
        <w:t>3</w:t>
      </w:r>
    </w:p>
    <w:p w14:paraId="0A679A52" w14:textId="77777777" w:rsidR="00ED25A8" w:rsidRPr="008529F0" w:rsidRDefault="00ED25A8" w:rsidP="00F74233">
      <w:pPr>
        <w:spacing w:after="0" w:line="280" w:lineRule="atLeast"/>
        <w:rPr>
          <w:rFonts w:ascii="Georgia" w:hAnsi="Georgia" w:cs="Arial"/>
          <w:sz w:val="20"/>
          <w:szCs w:val="20"/>
        </w:rPr>
      </w:pPr>
    </w:p>
    <w:p w14:paraId="0BCD8156" w14:textId="4849EE25" w:rsidR="00ED25A8" w:rsidRPr="00F34D17" w:rsidRDefault="00ED25A8" w:rsidP="00F74233">
      <w:pPr>
        <w:pStyle w:val="Billedtekst"/>
        <w:keepNext/>
        <w:spacing w:after="0" w:line="280" w:lineRule="atLeast"/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</w:pPr>
      <w:r w:rsidRPr="00F34D17"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t xml:space="preserve">Tabel </w:t>
      </w:r>
      <w:r w:rsidRPr="00F34D17"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F34D17"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instrText xml:space="preserve"> SEQ Tabel \* ARABIC </w:instrText>
      </w:r>
      <w:r w:rsidRPr="00F34D17"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636CFD">
        <w:rPr>
          <w:rFonts w:ascii="Georgia" w:hAnsi="Georgia" w:cs="Arial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F34D17"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fldChar w:fldCharType="end"/>
      </w:r>
      <w:r>
        <w:rPr>
          <w:rFonts w:ascii="Georgia" w:hAnsi="Georgia" w:cs="Arial"/>
          <w:b/>
          <w:bCs/>
          <w:i w:val="0"/>
          <w:iCs w:val="0"/>
          <w:color w:val="auto"/>
          <w:sz w:val="20"/>
          <w:szCs w:val="20"/>
        </w:rPr>
        <w:t>: Budgetopgørelse pr. august 2023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1438"/>
        <w:gridCol w:w="146"/>
        <w:gridCol w:w="1318"/>
        <w:gridCol w:w="1588"/>
        <w:gridCol w:w="1470"/>
      </w:tblGrid>
      <w:tr w:rsidR="006E4543" w:rsidRPr="008529F0" w14:paraId="73A4695E" w14:textId="77777777" w:rsidTr="001C5F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14:paraId="65E7693A" w14:textId="77777777" w:rsidR="00ED25A8" w:rsidRPr="008529F0" w:rsidRDefault="00ED25A8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Aktiviteter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79BCBD9E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</w:p>
          <w:p w14:paraId="58C357A6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Realiseret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1869B"/>
          </w:tcPr>
          <w:p w14:paraId="590661E1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</w:p>
          <w:p w14:paraId="64E5E820" w14:textId="77777777" w:rsidR="00ED25A8" w:rsidRDefault="00ED25A8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14:paraId="63070956" w14:textId="35489C65" w:rsidR="00ED25A8" w:rsidRPr="008529F0" w:rsidRDefault="00ED25A8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Budget 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noWrap/>
            <w:vAlign w:val="center"/>
            <w:hideMark/>
          </w:tcPr>
          <w:p w14:paraId="1FFE0FCC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Realiseret</w:t>
            </w:r>
          </w:p>
          <w:p w14:paraId="70B0B9A2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(jan.- juli 2023)</w:t>
            </w: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1869B"/>
            <w:vAlign w:val="center"/>
            <w:hideMark/>
          </w:tcPr>
          <w:p w14:paraId="46CE625A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 xml:space="preserve">Restbudget </w:t>
            </w:r>
          </w:p>
          <w:p w14:paraId="76A0031D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(aug.-dec. 2023)</w:t>
            </w: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6E4543" w:rsidRPr="008529F0" w14:paraId="2D817682" w14:textId="77777777" w:rsidTr="001C5FD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227A" w14:textId="653160F5" w:rsidR="00ED25A8" w:rsidRPr="008529F0" w:rsidRDefault="00ED25A8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Løn til sekretariatet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  <w:vAlign w:val="center"/>
          </w:tcPr>
          <w:p w14:paraId="7A166860" w14:textId="29225918" w:rsidR="00ED25A8" w:rsidRDefault="00EE537E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  <w:t>741.741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F24B5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1B16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  <w:t>986.082</w:t>
            </w:r>
            <w:r w:rsidRPr="3C4ED246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  <w:t xml:space="preserve">* </w:t>
            </w:r>
          </w:p>
          <w:p w14:paraId="24BBBA9D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E58A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da-DK"/>
              </w:rPr>
              <w:t>471.614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BB13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514.468</w:t>
            </w:r>
          </w:p>
        </w:tc>
      </w:tr>
      <w:tr w:rsidR="006E4543" w:rsidRPr="008529F0" w14:paraId="3527535D" w14:textId="77777777" w:rsidTr="001C5FDE">
        <w:trPr>
          <w:trHeight w:val="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3251" w14:textId="658AE6E1" w:rsidR="00ED25A8" w:rsidRPr="008529F0" w:rsidRDefault="006E4543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 xml:space="preserve">Driftsomkostninger - </w:t>
            </w:r>
            <w:r w:rsidR="00ED25A8">
              <w:rPr>
                <w:rFonts w:ascii="Georgia" w:hAnsi="Georgia" w:cs="Arial"/>
                <w:color w:val="000000"/>
                <w:sz w:val="18"/>
                <w:szCs w:val="18"/>
              </w:rPr>
              <w:t>Ekstern konsulentbistand til udvikling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57ED86B5" w14:textId="77777777" w:rsidR="003D17C2" w:rsidRDefault="003D17C2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</w:p>
          <w:p w14:paraId="1B132625" w14:textId="18DFAC9B" w:rsidR="00ED25A8" w:rsidRPr="00E140AD" w:rsidRDefault="003D17C2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3D17C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196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.</w:t>
            </w:r>
            <w:r w:rsidRPr="003D17C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B0F51" w14:textId="77777777" w:rsidR="00ED25A8" w:rsidRPr="00E140AD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760E7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E140A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211.215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6CE3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1AAD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 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211.215</w:t>
            </w: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    </w:t>
            </w:r>
          </w:p>
        </w:tc>
      </w:tr>
      <w:tr w:rsidR="006E4543" w:rsidRPr="008529F0" w14:paraId="38F9D4EC" w14:textId="77777777" w:rsidTr="001C5FDE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DBA5" w14:textId="3E55D07C" w:rsidR="00ED25A8" w:rsidRPr="008529F0" w:rsidRDefault="006E4543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Driftsomkostninger - </w:t>
            </w:r>
            <w:r w:rsidR="00ED25A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Partnerdag</w:t>
            </w:r>
            <w:r w:rsidR="00ED25A8"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og andre arrangementer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3"/>
          </w:tcPr>
          <w:p w14:paraId="1BB82003" w14:textId="54B2ABBE" w:rsidR="00ED25A8" w:rsidRDefault="00E1596C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42.</w:t>
            </w:r>
            <w:r w:rsidR="008D410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466,76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0C91E" w14:textId="77777777" w:rsidR="00ED25A8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35F3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85.000</w:t>
            </w:r>
            <w:r w:rsidRPr="00E140A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9202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2254" w14:textId="77777777" w:rsidR="00ED25A8" w:rsidRPr="008529F0" w:rsidRDefault="00ED25A8" w:rsidP="00F74233">
            <w:pPr>
              <w:spacing w:after="0" w:line="280" w:lineRule="atLeast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85.000</w:t>
            </w:r>
          </w:p>
        </w:tc>
      </w:tr>
      <w:tr w:rsidR="006E4543" w:rsidRPr="008529F0" w14:paraId="2594D420" w14:textId="77777777" w:rsidTr="001C5FD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6A247E" w14:textId="77777777" w:rsidR="00ED25A8" w:rsidRPr="00C1588F" w:rsidRDefault="00ED25A8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C1588F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Resultat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5A5A5" w:themeFill="accent3"/>
          </w:tcPr>
          <w:p w14:paraId="7A06EFE7" w14:textId="74451D64" w:rsidR="00ED25A8" w:rsidRPr="009948A3" w:rsidRDefault="00040112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980.863,76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772E73F7" w14:textId="77777777" w:rsidR="00ED25A8" w:rsidRPr="009948A3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23BF18" w14:textId="77777777" w:rsidR="00ED25A8" w:rsidRPr="00C1588F" w:rsidRDefault="00ED25A8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9948A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282</w:t>
            </w:r>
            <w:r w:rsidRPr="009948A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.2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97</w:t>
            </w:r>
            <w:r w:rsidRPr="009948A3">
              <w:rPr>
                <w:b/>
                <w:bCs/>
              </w:rPr>
              <w:t xml:space="preserve">     </w:t>
            </w:r>
            <w:r w:rsidRPr="00C1588F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66D902" w14:textId="77777777" w:rsidR="00ED25A8" w:rsidRPr="00C1588F" w:rsidRDefault="00ED25A8" w:rsidP="00F74233">
            <w:pPr>
              <w:spacing w:after="0" w:line="280" w:lineRule="atLeast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471.614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E9FDAAD" w14:textId="77777777" w:rsidR="00ED25A8" w:rsidRPr="00C1588F" w:rsidRDefault="00ED25A8" w:rsidP="00F74233">
            <w:pPr>
              <w:spacing w:after="0" w:line="280" w:lineRule="atLeast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810.683</w:t>
            </w:r>
          </w:p>
        </w:tc>
      </w:tr>
    </w:tbl>
    <w:p w14:paraId="599A88B8" w14:textId="7D6E8120" w:rsidR="00ED25A8" w:rsidRPr="00552E56" w:rsidRDefault="00ED25A8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16"/>
          <w:szCs w:val="16"/>
        </w:rPr>
      </w:pPr>
      <w:r w:rsidRPr="00552E56">
        <w:rPr>
          <w:rFonts w:ascii="Georgia" w:hAnsi="Georgia" w:cstheme="minorBidi"/>
          <w:color w:val="auto"/>
          <w:sz w:val="16"/>
          <w:szCs w:val="16"/>
        </w:rPr>
        <w:t xml:space="preserve">Note*: Der er overført ubrugte midler for 186.082 kr. fra 2022 til 2023, hvilket øger den oprindelige budgetpost på 800.000 kr. til 986.082 kr. </w:t>
      </w:r>
    </w:p>
    <w:p w14:paraId="187BE46C" w14:textId="77777777" w:rsidR="00ED25A8" w:rsidRPr="00552E56" w:rsidRDefault="00ED25A8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2"/>
        </w:rPr>
      </w:pPr>
    </w:p>
    <w:p w14:paraId="36CD0037" w14:textId="77777777" w:rsidR="00ED25A8" w:rsidRPr="00ED25A8" w:rsidRDefault="00ED25A8" w:rsidP="00F74233">
      <w:pPr>
        <w:pStyle w:val="Default"/>
        <w:spacing w:line="280" w:lineRule="atLeast"/>
        <w:rPr>
          <w:rFonts w:ascii="Georgia" w:hAnsi="Georgia" w:cstheme="minorBidi"/>
          <w:i/>
          <w:iCs/>
          <w:color w:val="auto"/>
          <w:sz w:val="20"/>
          <w:szCs w:val="20"/>
        </w:rPr>
      </w:pPr>
      <w:r w:rsidRPr="00ED25A8">
        <w:rPr>
          <w:rFonts w:ascii="Georgia" w:hAnsi="Georgia" w:cstheme="minorBidi"/>
          <w:i/>
          <w:iCs/>
          <w:color w:val="auto"/>
          <w:sz w:val="20"/>
          <w:szCs w:val="20"/>
        </w:rPr>
        <w:t>Løn til sekretariatet</w:t>
      </w:r>
    </w:p>
    <w:p w14:paraId="05E4D616" w14:textId="1DF6FAA1" w:rsidR="00ED25A8" w:rsidRPr="00ED25A8" w:rsidRDefault="007E3848" w:rsidP="00F74233">
      <w:pPr>
        <w:pStyle w:val="Default"/>
        <w:spacing w:line="280" w:lineRule="atLeast"/>
        <w:rPr>
          <w:rFonts w:ascii="Georgia" w:hAnsi="Georgia"/>
          <w:sz w:val="20"/>
          <w:szCs w:val="20"/>
        </w:rPr>
      </w:pPr>
      <w:r>
        <w:rPr>
          <w:rFonts w:ascii="Georgia" w:hAnsi="Georgia" w:cstheme="minorBidi"/>
          <w:color w:val="auto"/>
          <w:sz w:val="20"/>
          <w:szCs w:val="20"/>
        </w:rPr>
        <w:t>Aktivitete</w:t>
      </w:r>
      <w:r w:rsidR="00BC30A4">
        <w:rPr>
          <w:rFonts w:ascii="Georgia" w:hAnsi="Georgia" w:cstheme="minorBidi"/>
          <w:color w:val="auto"/>
          <w:sz w:val="20"/>
          <w:szCs w:val="20"/>
        </w:rPr>
        <w:t>n</w:t>
      </w:r>
      <w:r w:rsidR="00C630F8">
        <w:rPr>
          <w:rFonts w:ascii="Georgia" w:hAnsi="Georgia" w:cstheme="minorBidi"/>
          <w:color w:val="auto"/>
          <w:sz w:val="20"/>
          <w:szCs w:val="20"/>
        </w:rPr>
        <w:t xml:space="preserve"> dækker sekretariatets drift af evalueringer, </w:t>
      </w:r>
      <w:r w:rsidR="000625E1">
        <w:rPr>
          <w:rFonts w:ascii="Georgia" w:hAnsi="Georgia" w:cstheme="minorBidi"/>
          <w:color w:val="auto"/>
          <w:sz w:val="20"/>
          <w:szCs w:val="20"/>
        </w:rPr>
        <w:t xml:space="preserve">udarbejdelse af analyser, projektledelse, understøttelse af partnere og sekretariatsbetjening. </w:t>
      </w:r>
      <w:r w:rsidR="001A5880" w:rsidRPr="359C5547">
        <w:rPr>
          <w:rFonts w:ascii="Georgia" w:hAnsi="Georgia" w:cstheme="minorBidi"/>
          <w:color w:val="auto"/>
          <w:sz w:val="20"/>
          <w:szCs w:val="20"/>
        </w:rPr>
        <w:t>Styregruppen</w:t>
      </w:r>
      <w:r w:rsidR="00674821" w:rsidRPr="359C5547">
        <w:rPr>
          <w:rFonts w:ascii="Georgia" w:hAnsi="Georgia" w:cstheme="minorBidi"/>
          <w:color w:val="auto"/>
          <w:sz w:val="20"/>
          <w:szCs w:val="20"/>
        </w:rPr>
        <w:t xml:space="preserve"> besluttede </w:t>
      </w:r>
      <w:r w:rsidR="00992F7F" w:rsidRPr="359C5547">
        <w:rPr>
          <w:rFonts w:ascii="Georgia" w:hAnsi="Georgia" w:cstheme="minorBidi"/>
          <w:color w:val="auto"/>
          <w:sz w:val="20"/>
          <w:szCs w:val="20"/>
        </w:rPr>
        <w:t xml:space="preserve">den 31. august 2022 budgettet for </w:t>
      </w:r>
      <w:r w:rsidR="00DA5E4A" w:rsidRPr="359C5547">
        <w:rPr>
          <w:rFonts w:ascii="Georgia" w:hAnsi="Georgia" w:cstheme="minorBidi"/>
          <w:color w:val="auto"/>
          <w:sz w:val="20"/>
          <w:szCs w:val="20"/>
        </w:rPr>
        <w:t>2023</w:t>
      </w:r>
      <w:r w:rsidR="007043CC">
        <w:rPr>
          <w:rFonts w:ascii="Georgia" w:hAnsi="Georgia" w:cstheme="minorBidi"/>
          <w:color w:val="auto"/>
          <w:sz w:val="20"/>
          <w:szCs w:val="20"/>
        </w:rPr>
        <w:t>, hvor o</w:t>
      </w:r>
      <w:r w:rsidR="00F247B0" w:rsidRPr="359C5547">
        <w:rPr>
          <w:rFonts w:ascii="Georgia" w:hAnsi="Georgia" w:cstheme="minorBidi"/>
          <w:color w:val="auto"/>
          <w:sz w:val="20"/>
          <w:szCs w:val="20"/>
        </w:rPr>
        <w:t xml:space="preserve">mkostninger til løn til sekretariatet </w:t>
      </w:r>
      <w:r w:rsidR="00633744">
        <w:rPr>
          <w:rFonts w:ascii="Georgia" w:hAnsi="Georgia" w:cstheme="minorBidi"/>
          <w:color w:val="auto"/>
          <w:sz w:val="20"/>
          <w:szCs w:val="20"/>
        </w:rPr>
        <w:t>blev</w:t>
      </w:r>
      <w:r w:rsidR="00F247B0" w:rsidRPr="359C5547">
        <w:rPr>
          <w:rFonts w:ascii="Georgia" w:hAnsi="Georgia" w:cstheme="minorBidi"/>
          <w:color w:val="auto"/>
          <w:sz w:val="20"/>
          <w:szCs w:val="20"/>
        </w:rPr>
        <w:t xml:space="preserve"> fastholdt på samme niveau som i 2022</w:t>
      </w:r>
      <w:r w:rsidR="007A2F52">
        <w:rPr>
          <w:rFonts w:ascii="Georgia" w:hAnsi="Georgia" w:cstheme="minorBidi"/>
          <w:color w:val="auto"/>
          <w:sz w:val="20"/>
          <w:szCs w:val="20"/>
        </w:rPr>
        <w:t xml:space="preserve">. </w:t>
      </w:r>
      <w:r w:rsidR="000625E1">
        <w:rPr>
          <w:rFonts w:ascii="Georgia" w:hAnsi="Georgia" w:cstheme="minorBidi"/>
          <w:color w:val="auto"/>
          <w:sz w:val="20"/>
          <w:szCs w:val="20"/>
        </w:rPr>
        <w:t>Efterfølgende er</w:t>
      </w:r>
      <w:r w:rsidR="003F7EF3">
        <w:rPr>
          <w:rFonts w:ascii="Georgia" w:hAnsi="Georgia" w:cstheme="minorBidi"/>
          <w:color w:val="auto"/>
          <w:sz w:val="20"/>
          <w:szCs w:val="20"/>
        </w:rPr>
        <w:t xml:space="preserve"> overført</w:t>
      </w:r>
      <w:r w:rsidR="00CE30AA">
        <w:rPr>
          <w:rFonts w:ascii="Georgia" w:hAnsi="Georgia" w:cstheme="minorBidi"/>
          <w:color w:val="auto"/>
          <w:sz w:val="20"/>
          <w:szCs w:val="20"/>
        </w:rPr>
        <w:t xml:space="preserve"> ubrugte midler for</w:t>
      </w:r>
      <w:r w:rsidR="007A2F52">
        <w:rPr>
          <w:rFonts w:ascii="Georgia" w:hAnsi="Georgia" w:cstheme="minorBidi"/>
          <w:color w:val="auto"/>
          <w:sz w:val="20"/>
          <w:szCs w:val="20"/>
        </w:rPr>
        <w:t xml:space="preserve"> </w:t>
      </w:r>
      <w:r w:rsidR="002A1F54" w:rsidRPr="002A1F54">
        <w:rPr>
          <w:rFonts w:ascii="Georgia" w:hAnsi="Georgia" w:cstheme="minorBidi"/>
          <w:color w:val="auto"/>
          <w:sz w:val="20"/>
          <w:szCs w:val="20"/>
        </w:rPr>
        <w:t xml:space="preserve">186.082 kr. </w:t>
      </w:r>
      <w:r w:rsidR="00CF168D">
        <w:rPr>
          <w:rFonts w:ascii="Georgia" w:hAnsi="Georgia" w:cstheme="minorBidi"/>
          <w:color w:val="auto"/>
          <w:sz w:val="20"/>
          <w:szCs w:val="20"/>
        </w:rPr>
        <w:t xml:space="preserve">fra </w:t>
      </w:r>
      <w:r w:rsidR="002A1F54" w:rsidRPr="002A1F54">
        <w:rPr>
          <w:rFonts w:ascii="Georgia" w:hAnsi="Georgia" w:cstheme="minorBidi"/>
          <w:color w:val="auto"/>
          <w:sz w:val="20"/>
          <w:szCs w:val="20"/>
        </w:rPr>
        <w:t>2022 til 2023</w:t>
      </w:r>
      <w:r w:rsidR="00085F5E">
        <w:rPr>
          <w:rFonts w:ascii="Georgia" w:hAnsi="Georgia" w:cstheme="minorBidi"/>
          <w:color w:val="auto"/>
          <w:sz w:val="20"/>
          <w:szCs w:val="20"/>
        </w:rPr>
        <w:t>, og pr. juli 2023 er</w:t>
      </w:r>
      <w:r w:rsidR="00436606">
        <w:rPr>
          <w:rFonts w:ascii="Georgia" w:hAnsi="Georgia" w:cstheme="minorBidi"/>
          <w:color w:val="auto"/>
          <w:sz w:val="20"/>
          <w:szCs w:val="20"/>
        </w:rPr>
        <w:t xml:space="preserve"> ca. halvdelen af lønbudgettet anvendt. Det </w:t>
      </w:r>
      <w:r w:rsidR="00872B69">
        <w:rPr>
          <w:rFonts w:ascii="Georgia" w:hAnsi="Georgia" w:cstheme="minorBidi"/>
          <w:color w:val="auto"/>
          <w:sz w:val="20"/>
          <w:szCs w:val="20"/>
        </w:rPr>
        <w:t>øgede lønforb</w:t>
      </w:r>
      <w:r w:rsidR="00FE5E83">
        <w:rPr>
          <w:rFonts w:ascii="Georgia" w:hAnsi="Georgia" w:cstheme="minorBidi"/>
          <w:color w:val="auto"/>
          <w:sz w:val="20"/>
          <w:szCs w:val="20"/>
        </w:rPr>
        <w:t>r</w:t>
      </w:r>
      <w:r w:rsidR="00872B69">
        <w:rPr>
          <w:rFonts w:ascii="Georgia" w:hAnsi="Georgia" w:cstheme="minorBidi"/>
          <w:color w:val="auto"/>
          <w:sz w:val="20"/>
          <w:szCs w:val="20"/>
        </w:rPr>
        <w:t xml:space="preserve">ug i 2023 er forventet og skyldes dels </w:t>
      </w:r>
      <w:r w:rsidR="000876BB">
        <w:rPr>
          <w:rFonts w:ascii="Georgia" w:hAnsi="Georgia" w:cstheme="minorBidi"/>
          <w:color w:val="auto"/>
          <w:sz w:val="20"/>
          <w:szCs w:val="20"/>
        </w:rPr>
        <w:t>flere timer brugt på</w:t>
      </w:r>
      <w:r w:rsidR="00872B69">
        <w:rPr>
          <w:rFonts w:ascii="Georgia" w:hAnsi="Georgia" w:cstheme="minorBidi"/>
          <w:color w:val="auto"/>
          <w:sz w:val="20"/>
          <w:szCs w:val="20"/>
        </w:rPr>
        <w:t xml:space="preserve"> evalueringerne blandt elever og vejledere, hvor flere kommuner </w:t>
      </w:r>
      <w:r w:rsidR="00C5185B">
        <w:rPr>
          <w:rFonts w:ascii="Georgia" w:hAnsi="Georgia" w:cstheme="minorBidi"/>
          <w:color w:val="auto"/>
          <w:sz w:val="20"/>
          <w:szCs w:val="20"/>
        </w:rPr>
        <w:t>er kommet med</w:t>
      </w:r>
      <w:r w:rsidR="000876BB">
        <w:rPr>
          <w:rFonts w:ascii="Georgia" w:hAnsi="Georgia" w:cstheme="minorBidi"/>
          <w:color w:val="auto"/>
          <w:sz w:val="20"/>
          <w:szCs w:val="20"/>
        </w:rPr>
        <w:t xml:space="preserve"> i 2023</w:t>
      </w:r>
      <w:r w:rsidR="00C5185B">
        <w:rPr>
          <w:rFonts w:ascii="Georgia" w:hAnsi="Georgia" w:cstheme="minorBidi"/>
          <w:color w:val="auto"/>
          <w:sz w:val="20"/>
          <w:szCs w:val="20"/>
        </w:rPr>
        <w:t>, samt sekretariatets ressourceforbrug i</w:t>
      </w:r>
      <w:r w:rsidR="00A01AAC">
        <w:rPr>
          <w:rFonts w:ascii="Georgia" w:hAnsi="Georgia" w:cstheme="minorBidi"/>
          <w:color w:val="auto"/>
          <w:sz w:val="20"/>
          <w:szCs w:val="20"/>
        </w:rPr>
        <w:t xml:space="preserve"> forbindelse med</w:t>
      </w:r>
      <w:r w:rsidR="00C5185B">
        <w:rPr>
          <w:rFonts w:ascii="Georgia" w:hAnsi="Georgia" w:cstheme="minorBidi"/>
          <w:color w:val="auto"/>
          <w:sz w:val="20"/>
          <w:szCs w:val="20"/>
        </w:rPr>
        <w:t xml:space="preserve"> udvikling og lancering af </w:t>
      </w:r>
      <w:r w:rsidR="00FE5E83">
        <w:rPr>
          <w:rFonts w:ascii="Georgia" w:hAnsi="Georgia" w:cstheme="minorBidi"/>
          <w:color w:val="auto"/>
          <w:sz w:val="20"/>
          <w:szCs w:val="20"/>
        </w:rPr>
        <w:t xml:space="preserve">resultatvisninger. </w:t>
      </w:r>
      <w:r w:rsidR="00872B69">
        <w:rPr>
          <w:rFonts w:ascii="Georgia" w:hAnsi="Georgia" w:cstheme="minorBidi"/>
          <w:color w:val="auto"/>
          <w:sz w:val="20"/>
          <w:szCs w:val="20"/>
        </w:rPr>
        <w:t xml:space="preserve"> </w:t>
      </w:r>
    </w:p>
    <w:p w14:paraId="46A6BE71" w14:textId="77777777" w:rsidR="00ED25A8" w:rsidRDefault="00ED25A8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0"/>
        </w:rPr>
      </w:pPr>
    </w:p>
    <w:p w14:paraId="31BC034B" w14:textId="77777777" w:rsidR="00ED25A8" w:rsidRPr="00ED25A8" w:rsidRDefault="00ED25A8" w:rsidP="00F74233">
      <w:pPr>
        <w:pStyle w:val="Default"/>
        <w:spacing w:line="280" w:lineRule="atLeast"/>
        <w:rPr>
          <w:rFonts w:ascii="Georgia" w:hAnsi="Georgia"/>
          <w:i/>
          <w:iCs/>
          <w:sz w:val="20"/>
          <w:szCs w:val="20"/>
        </w:rPr>
      </w:pPr>
      <w:r w:rsidRPr="00ED25A8">
        <w:rPr>
          <w:rFonts w:ascii="Georgia" w:hAnsi="Georgia"/>
          <w:i/>
          <w:iCs/>
          <w:sz w:val="20"/>
          <w:szCs w:val="20"/>
        </w:rPr>
        <w:t xml:space="preserve">Ekstern konsulentbistand til udvikling af resultatvisning </w:t>
      </w:r>
    </w:p>
    <w:p w14:paraId="1ADB67C7" w14:textId="546C1944" w:rsidR="008A23E2" w:rsidRDefault="00D96712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0"/>
        </w:rPr>
      </w:pPr>
      <w:r>
        <w:rPr>
          <w:rFonts w:ascii="Georgia" w:hAnsi="Georgia" w:cstheme="minorBidi"/>
          <w:color w:val="auto"/>
          <w:sz w:val="20"/>
          <w:szCs w:val="20"/>
        </w:rPr>
        <w:t xml:space="preserve">I 2022 </w:t>
      </w:r>
      <w:r w:rsidR="001B1620">
        <w:rPr>
          <w:rFonts w:ascii="Georgia" w:hAnsi="Georgia" w:cstheme="minorBidi"/>
          <w:color w:val="auto"/>
          <w:sz w:val="20"/>
          <w:szCs w:val="20"/>
        </w:rPr>
        <w:t xml:space="preserve">anvendte partnerskabet ekstern konsulentbistand til udvikling af </w:t>
      </w:r>
      <w:r w:rsidR="00E30602" w:rsidRPr="359C5547">
        <w:rPr>
          <w:rFonts w:ascii="Georgia" w:hAnsi="Georgia" w:cstheme="minorBidi"/>
          <w:color w:val="auto"/>
          <w:sz w:val="20"/>
          <w:szCs w:val="20"/>
        </w:rPr>
        <w:t>en ny visning</w:t>
      </w:r>
      <w:r w:rsidR="00886B8E">
        <w:rPr>
          <w:rFonts w:ascii="Georgia" w:hAnsi="Georgia" w:cstheme="minorBidi"/>
          <w:color w:val="auto"/>
          <w:sz w:val="20"/>
          <w:szCs w:val="20"/>
        </w:rPr>
        <w:t xml:space="preserve"> i </w:t>
      </w:r>
      <w:r w:rsidR="009140B2">
        <w:rPr>
          <w:rFonts w:ascii="Georgia" w:hAnsi="Georgia" w:cstheme="minorBidi"/>
          <w:color w:val="auto"/>
          <w:sz w:val="20"/>
          <w:szCs w:val="20"/>
        </w:rPr>
        <w:t>systemet Power BI</w:t>
      </w:r>
      <w:r w:rsidR="00E30602" w:rsidRPr="359C5547">
        <w:rPr>
          <w:rFonts w:ascii="Georgia" w:hAnsi="Georgia" w:cstheme="minorBidi"/>
          <w:color w:val="auto"/>
          <w:sz w:val="20"/>
          <w:szCs w:val="20"/>
        </w:rPr>
        <w:t>, der gør det nemmere for partnerne at tilgå praktikevalueringsresultaterne for studerende</w:t>
      </w:r>
      <w:r w:rsidR="00E30602">
        <w:rPr>
          <w:rFonts w:ascii="Georgia" w:hAnsi="Georgia" w:cstheme="minorBidi"/>
          <w:color w:val="auto"/>
          <w:sz w:val="20"/>
          <w:szCs w:val="20"/>
        </w:rPr>
        <w:t>.</w:t>
      </w:r>
      <w:r w:rsidR="00E30602" w:rsidRPr="359C5547">
        <w:rPr>
          <w:rFonts w:ascii="Georgia" w:hAnsi="Georgia" w:cstheme="minorBidi"/>
          <w:color w:val="auto"/>
          <w:sz w:val="20"/>
          <w:szCs w:val="20"/>
        </w:rPr>
        <w:t xml:space="preserve"> </w:t>
      </w:r>
    </w:p>
    <w:p w14:paraId="376F5BC9" w14:textId="77777777" w:rsidR="008A23E2" w:rsidRDefault="008A23E2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0"/>
        </w:rPr>
      </w:pPr>
    </w:p>
    <w:p w14:paraId="2325F6F2" w14:textId="0BE7CCEF" w:rsidR="00E42E3D" w:rsidRDefault="00E30602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0"/>
        </w:rPr>
      </w:pPr>
      <w:r>
        <w:rPr>
          <w:rFonts w:ascii="Georgia" w:hAnsi="Georgia" w:cstheme="minorBidi"/>
          <w:color w:val="auto"/>
          <w:sz w:val="20"/>
          <w:szCs w:val="20"/>
        </w:rPr>
        <w:t>I budget 2023 er</w:t>
      </w:r>
      <w:r w:rsidR="00AD0399" w:rsidRPr="359C5547">
        <w:rPr>
          <w:rFonts w:ascii="Georgia" w:hAnsi="Georgia" w:cstheme="minorBidi"/>
          <w:color w:val="auto"/>
          <w:sz w:val="20"/>
          <w:szCs w:val="20"/>
        </w:rPr>
        <w:t xml:space="preserve"> afsat midler til fortsat udvikling af resultatvisningsværktøjer</w:t>
      </w:r>
      <w:r w:rsidR="00C26634">
        <w:rPr>
          <w:rFonts w:ascii="Georgia" w:hAnsi="Georgia" w:cstheme="minorBidi"/>
          <w:color w:val="auto"/>
          <w:sz w:val="20"/>
          <w:szCs w:val="20"/>
        </w:rPr>
        <w:t xml:space="preserve">, men da udvikling og lancering af Power BI visningen </w:t>
      </w:r>
      <w:r w:rsidR="00686724">
        <w:rPr>
          <w:rFonts w:ascii="Georgia" w:hAnsi="Georgia" w:cstheme="minorBidi"/>
          <w:color w:val="auto"/>
          <w:sz w:val="20"/>
          <w:szCs w:val="20"/>
        </w:rPr>
        <w:t xml:space="preserve">blev forlænget frem til foråret 2023, er midlerne til fortsat udvikling endnu ikke anvendt. </w:t>
      </w:r>
      <w:r w:rsidR="00C51243">
        <w:rPr>
          <w:rFonts w:ascii="Georgia" w:hAnsi="Georgia" w:cstheme="minorBidi"/>
          <w:color w:val="auto"/>
          <w:sz w:val="20"/>
          <w:szCs w:val="20"/>
        </w:rPr>
        <w:t xml:space="preserve">De forskellige evalueringer i partnerskabet </w:t>
      </w:r>
      <w:r w:rsidR="006D0EFB">
        <w:rPr>
          <w:rFonts w:ascii="Georgia" w:hAnsi="Georgia" w:cstheme="minorBidi"/>
          <w:color w:val="auto"/>
          <w:sz w:val="20"/>
          <w:szCs w:val="20"/>
        </w:rPr>
        <w:t xml:space="preserve">blandt studerende, elever og vejledere foregår pt. i forskellige systemer og med forskellige afrapporteringsformater. </w:t>
      </w:r>
      <w:r w:rsidR="00822180">
        <w:rPr>
          <w:rFonts w:ascii="Georgia" w:hAnsi="Georgia" w:cstheme="minorBidi"/>
          <w:color w:val="auto"/>
          <w:sz w:val="20"/>
          <w:szCs w:val="20"/>
        </w:rPr>
        <w:t xml:space="preserve">For at gøre </w:t>
      </w:r>
      <w:r w:rsidR="000578E7">
        <w:rPr>
          <w:rFonts w:ascii="Georgia" w:hAnsi="Georgia" w:cstheme="minorBidi"/>
          <w:color w:val="auto"/>
          <w:sz w:val="20"/>
          <w:szCs w:val="20"/>
        </w:rPr>
        <w:t xml:space="preserve">anvendelsen af </w:t>
      </w:r>
      <w:r w:rsidR="00822180">
        <w:rPr>
          <w:rFonts w:ascii="Georgia" w:hAnsi="Georgia" w:cstheme="minorBidi"/>
          <w:color w:val="auto"/>
          <w:sz w:val="20"/>
          <w:szCs w:val="20"/>
        </w:rPr>
        <w:t xml:space="preserve">evalueringerne mest tilgængelige som muligt for </w:t>
      </w:r>
      <w:r w:rsidR="000578E7">
        <w:rPr>
          <w:rFonts w:ascii="Georgia" w:hAnsi="Georgia" w:cstheme="minorBidi"/>
          <w:color w:val="auto"/>
          <w:sz w:val="20"/>
          <w:szCs w:val="20"/>
        </w:rPr>
        <w:t>alle partnere, og for at mindske driftsomkostningerne ved evalueringerne</w:t>
      </w:r>
      <w:r w:rsidR="001A7D42">
        <w:rPr>
          <w:rFonts w:ascii="Georgia" w:hAnsi="Georgia" w:cstheme="minorBidi"/>
          <w:color w:val="auto"/>
          <w:sz w:val="20"/>
          <w:szCs w:val="20"/>
        </w:rPr>
        <w:t xml:space="preserve"> fremadrettet</w:t>
      </w:r>
      <w:r w:rsidR="000578E7">
        <w:rPr>
          <w:rFonts w:ascii="Georgia" w:hAnsi="Georgia" w:cstheme="minorBidi"/>
          <w:color w:val="auto"/>
          <w:sz w:val="20"/>
          <w:szCs w:val="20"/>
        </w:rPr>
        <w:t xml:space="preserve">, vil sekretariatet arbejde for at </w:t>
      </w:r>
      <w:r w:rsidR="002C415C">
        <w:rPr>
          <w:rFonts w:ascii="Georgia" w:hAnsi="Georgia" w:cstheme="minorBidi"/>
          <w:color w:val="auto"/>
          <w:sz w:val="20"/>
          <w:szCs w:val="20"/>
        </w:rPr>
        <w:t>strømline</w:t>
      </w:r>
      <w:r w:rsidR="00686724">
        <w:rPr>
          <w:rFonts w:ascii="Georgia" w:hAnsi="Georgia" w:cstheme="minorBidi"/>
          <w:color w:val="auto"/>
          <w:sz w:val="20"/>
          <w:szCs w:val="20"/>
        </w:rPr>
        <w:t xml:space="preserve"> evalu</w:t>
      </w:r>
      <w:r w:rsidR="002C415C">
        <w:rPr>
          <w:rFonts w:ascii="Georgia" w:hAnsi="Georgia" w:cstheme="minorBidi"/>
          <w:color w:val="auto"/>
          <w:sz w:val="20"/>
          <w:szCs w:val="20"/>
        </w:rPr>
        <w:t>erin</w:t>
      </w:r>
      <w:r w:rsidR="00686724">
        <w:rPr>
          <w:rFonts w:ascii="Georgia" w:hAnsi="Georgia" w:cstheme="minorBidi"/>
          <w:color w:val="auto"/>
          <w:sz w:val="20"/>
          <w:szCs w:val="20"/>
        </w:rPr>
        <w:t xml:space="preserve">gssystemer og resultatvisninger, sådan at </w:t>
      </w:r>
      <w:r w:rsidR="002C415C">
        <w:rPr>
          <w:rFonts w:ascii="Georgia" w:hAnsi="Georgia" w:cstheme="minorBidi"/>
          <w:color w:val="auto"/>
          <w:sz w:val="20"/>
          <w:szCs w:val="20"/>
        </w:rPr>
        <w:t xml:space="preserve">evalueringerne på sigt gennemføres i ét system og alle partnere kan tilgå </w:t>
      </w:r>
      <w:r w:rsidR="00A86110">
        <w:rPr>
          <w:rFonts w:ascii="Georgia" w:hAnsi="Georgia" w:cstheme="minorBidi"/>
          <w:color w:val="auto"/>
          <w:sz w:val="20"/>
          <w:szCs w:val="20"/>
        </w:rPr>
        <w:t>resultaterne ét sted</w:t>
      </w:r>
      <w:r w:rsidR="00E42E3D">
        <w:rPr>
          <w:rFonts w:ascii="Georgia" w:hAnsi="Georgia" w:cstheme="minorBidi"/>
          <w:color w:val="auto"/>
          <w:sz w:val="20"/>
          <w:szCs w:val="20"/>
        </w:rPr>
        <w:t xml:space="preserve">. </w:t>
      </w:r>
      <w:r w:rsidR="002E6ACE" w:rsidRPr="008C7412">
        <w:rPr>
          <w:rFonts w:ascii="Georgia" w:hAnsi="Georgia" w:cstheme="minorBidi"/>
          <w:color w:val="auto"/>
          <w:sz w:val="20"/>
          <w:szCs w:val="22"/>
        </w:rPr>
        <w:t>Her ser sekretariatet også et behov for at købe ekstern konsulentbistand til at udvikle løsninger, som imødekommer partnernes behov</w:t>
      </w:r>
      <w:r w:rsidR="002E6ACE">
        <w:rPr>
          <w:rFonts w:ascii="Georgia" w:hAnsi="Georgia" w:cstheme="minorBidi"/>
          <w:color w:val="auto"/>
          <w:sz w:val="20"/>
          <w:szCs w:val="20"/>
        </w:rPr>
        <w:t xml:space="preserve">. </w:t>
      </w:r>
      <w:r w:rsidR="00A86110">
        <w:rPr>
          <w:rFonts w:ascii="Georgia" w:hAnsi="Georgia" w:cstheme="minorBidi"/>
          <w:color w:val="auto"/>
          <w:sz w:val="20"/>
          <w:szCs w:val="20"/>
        </w:rPr>
        <w:t xml:space="preserve">Den proces går sekretariatet i dialog med </w:t>
      </w:r>
      <w:r w:rsidR="002E6ACE">
        <w:rPr>
          <w:rFonts w:ascii="Georgia" w:hAnsi="Georgia" w:cstheme="minorBidi"/>
          <w:color w:val="auto"/>
          <w:sz w:val="20"/>
          <w:szCs w:val="20"/>
        </w:rPr>
        <w:t>systemleverandører i efteråret 2023, og forventer at udviklingsarbejdet igangsættes i indeværende år og løber hen over 2024</w:t>
      </w:r>
      <w:r w:rsidR="00C6310A">
        <w:rPr>
          <w:rFonts w:ascii="Georgia" w:hAnsi="Georgia" w:cstheme="minorBidi"/>
          <w:color w:val="auto"/>
          <w:sz w:val="20"/>
          <w:szCs w:val="20"/>
        </w:rPr>
        <w:t>.</w:t>
      </w:r>
      <w:r w:rsidR="00501ECB">
        <w:rPr>
          <w:rFonts w:ascii="Georgia" w:hAnsi="Georgia" w:cstheme="minorBidi"/>
          <w:color w:val="auto"/>
          <w:sz w:val="20"/>
          <w:szCs w:val="20"/>
        </w:rPr>
        <w:t xml:space="preserve"> Det forventes at </w:t>
      </w:r>
      <w:r w:rsidR="00F56674">
        <w:rPr>
          <w:rFonts w:ascii="Georgia" w:hAnsi="Georgia" w:cstheme="minorBidi"/>
          <w:color w:val="auto"/>
          <w:sz w:val="20"/>
          <w:szCs w:val="20"/>
        </w:rPr>
        <w:lastRenderedPageBreak/>
        <w:t xml:space="preserve">120.000 kr. </w:t>
      </w:r>
      <w:r w:rsidR="009B412B">
        <w:rPr>
          <w:rFonts w:ascii="Georgia" w:hAnsi="Georgia" w:cstheme="minorBidi"/>
          <w:color w:val="auto"/>
          <w:sz w:val="20"/>
          <w:szCs w:val="20"/>
        </w:rPr>
        <w:t>kan anvendes på systemudvikling i indeværende år</w:t>
      </w:r>
      <w:r w:rsidR="00C6310A">
        <w:rPr>
          <w:rFonts w:ascii="Georgia" w:hAnsi="Georgia" w:cstheme="minorBidi"/>
          <w:color w:val="auto"/>
          <w:sz w:val="20"/>
          <w:szCs w:val="20"/>
        </w:rPr>
        <w:t xml:space="preserve">, hvormed det resterende beløb overføres til budget 2024, hvor udviklingsarbejdet fortsætter. </w:t>
      </w:r>
    </w:p>
    <w:p w14:paraId="4B4D3AAC" w14:textId="77777777" w:rsidR="00D141C1" w:rsidRDefault="00D141C1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2"/>
        </w:rPr>
      </w:pPr>
    </w:p>
    <w:p w14:paraId="24EA51C5" w14:textId="77777777" w:rsidR="00ED25A8" w:rsidRPr="00ED25A8" w:rsidRDefault="00ED25A8" w:rsidP="00F74233">
      <w:pPr>
        <w:pStyle w:val="Default"/>
        <w:spacing w:line="280" w:lineRule="atLeast"/>
        <w:rPr>
          <w:rFonts w:ascii="Georgia" w:eastAsia="Times New Roman" w:hAnsi="Georgia"/>
          <w:i/>
          <w:iCs/>
          <w:sz w:val="18"/>
          <w:szCs w:val="18"/>
          <w:lang w:eastAsia="da-DK"/>
        </w:rPr>
      </w:pPr>
      <w:r w:rsidRPr="00ED25A8">
        <w:rPr>
          <w:rFonts w:ascii="Georgia" w:eastAsia="Times New Roman" w:hAnsi="Georgia"/>
          <w:i/>
          <w:iCs/>
          <w:sz w:val="20"/>
          <w:szCs w:val="20"/>
          <w:lang w:eastAsia="da-DK"/>
        </w:rPr>
        <w:t xml:space="preserve">Partnerdag og andre arrangementer </w:t>
      </w:r>
    </w:p>
    <w:p w14:paraId="2BB457A9" w14:textId="3264AD01" w:rsidR="00C6310A" w:rsidRDefault="001C5FDE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2"/>
        </w:rPr>
      </w:pPr>
      <w:r>
        <w:rPr>
          <w:rFonts w:ascii="Georgia" w:hAnsi="Georgia" w:cstheme="minorBidi"/>
          <w:color w:val="auto"/>
          <w:sz w:val="20"/>
          <w:szCs w:val="22"/>
        </w:rPr>
        <w:t xml:space="preserve">I 2022 anvendte SPU </w:t>
      </w:r>
      <w:r w:rsidR="00D336FD">
        <w:rPr>
          <w:rFonts w:ascii="Georgia" w:hAnsi="Georgia" w:cstheme="minorBidi"/>
          <w:color w:val="auto"/>
          <w:sz w:val="20"/>
          <w:szCs w:val="22"/>
        </w:rPr>
        <w:t xml:space="preserve">43.000 kr. </w:t>
      </w:r>
      <w:r w:rsidR="008C1691">
        <w:rPr>
          <w:rFonts w:ascii="Georgia" w:hAnsi="Georgia" w:cstheme="minorBidi"/>
          <w:color w:val="auto"/>
          <w:sz w:val="20"/>
          <w:szCs w:val="22"/>
        </w:rPr>
        <w:t xml:space="preserve">på </w:t>
      </w:r>
      <w:r w:rsidR="00F56674">
        <w:rPr>
          <w:rFonts w:ascii="Georgia" w:hAnsi="Georgia" w:cstheme="minorBidi"/>
          <w:color w:val="auto"/>
          <w:sz w:val="20"/>
          <w:szCs w:val="22"/>
        </w:rPr>
        <w:t xml:space="preserve">partnerdagen, herunder til </w:t>
      </w:r>
      <w:r w:rsidR="00715B67">
        <w:rPr>
          <w:rFonts w:ascii="Georgia" w:hAnsi="Georgia" w:cstheme="minorBidi"/>
          <w:color w:val="auto"/>
          <w:sz w:val="20"/>
          <w:szCs w:val="22"/>
        </w:rPr>
        <w:t>oplægsholder</w:t>
      </w:r>
      <w:r w:rsidR="00AE1489">
        <w:rPr>
          <w:rFonts w:ascii="Georgia" w:hAnsi="Georgia" w:cstheme="minorBidi"/>
          <w:color w:val="auto"/>
          <w:sz w:val="20"/>
          <w:szCs w:val="22"/>
        </w:rPr>
        <w:t>, afvikling og f</w:t>
      </w:r>
      <w:r w:rsidR="00715B67">
        <w:rPr>
          <w:rFonts w:ascii="Georgia" w:hAnsi="Georgia" w:cstheme="minorBidi"/>
          <w:color w:val="auto"/>
          <w:sz w:val="20"/>
          <w:szCs w:val="22"/>
        </w:rPr>
        <w:t>orplejning</w:t>
      </w:r>
      <w:r w:rsidR="00AE1489">
        <w:rPr>
          <w:rFonts w:ascii="Georgia" w:hAnsi="Georgia" w:cstheme="minorBidi"/>
          <w:color w:val="auto"/>
          <w:sz w:val="20"/>
          <w:szCs w:val="22"/>
        </w:rPr>
        <w:t xml:space="preserve">. </w:t>
      </w:r>
      <w:r w:rsidR="00837A4E">
        <w:rPr>
          <w:rFonts w:ascii="Georgia" w:hAnsi="Georgia" w:cstheme="minorBidi"/>
          <w:color w:val="auto"/>
          <w:sz w:val="20"/>
          <w:szCs w:val="22"/>
        </w:rPr>
        <w:t xml:space="preserve">Ved budgetvedtagelse </w:t>
      </w:r>
      <w:r>
        <w:rPr>
          <w:rFonts w:ascii="Georgia" w:hAnsi="Georgia" w:cstheme="minorBidi"/>
          <w:color w:val="auto"/>
          <w:sz w:val="20"/>
          <w:szCs w:val="22"/>
        </w:rPr>
        <w:t>var</w:t>
      </w:r>
      <w:r w:rsidR="00837A4E">
        <w:rPr>
          <w:rFonts w:ascii="Georgia" w:hAnsi="Georgia" w:cstheme="minorBidi"/>
          <w:color w:val="auto"/>
          <w:sz w:val="20"/>
          <w:szCs w:val="22"/>
        </w:rPr>
        <w:t xml:space="preserve"> </w:t>
      </w:r>
      <w:r w:rsidR="00DD4642">
        <w:rPr>
          <w:rFonts w:ascii="Georgia" w:hAnsi="Georgia" w:cstheme="minorBidi"/>
          <w:color w:val="auto"/>
          <w:sz w:val="20"/>
          <w:szCs w:val="22"/>
        </w:rPr>
        <w:t xml:space="preserve">planlagt med en partnerdag i </w:t>
      </w:r>
      <w:r w:rsidR="00A50F2B">
        <w:rPr>
          <w:rFonts w:ascii="Georgia" w:hAnsi="Georgia" w:cstheme="minorBidi"/>
          <w:color w:val="auto"/>
          <w:sz w:val="20"/>
          <w:szCs w:val="22"/>
        </w:rPr>
        <w:t>2023</w:t>
      </w:r>
      <w:r w:rsidR="00F56674">
        <w:rPr>
          <w:rFonts w:ascii="Georgia" w:hAnsi="Georgia" w:cstheme="minorBidi"/>
          <w:color w:val="auto"/>
          <w:sz w:val="20"/>
          <w:szCs w:val="22"/>
        </w:rPr>
        <w:t xml:space="preserve"> med et øget antal deltagere og evt. ekstern lokation hvorfor flere midler var afsat i budget 2023</w:t>
      </w:r>
      <w:r w:rsidR="00A50F2B">
        <w:rPr>
          <w:rFonts w:ascii="Georgia" w:hAnsi="Georgia" w:cstheme="minorBidi"/>
          <w:color w:val="auto"/>
          <w:sz w:val="20"/>
          <w:szCs w:val="22"/>
        </w:rPr>
        <w:t xml:space="preserve">. </w:t>
      </w:r>
    </w:p>
    <w:p w14:paraId="7F3C2590" w14:textId="77777777" w:rsidR="00C6310A" w:rsidRDefault="00C6310A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2"/>
        </w:rPr>
      </w:pPr>
    </w:p>
    <w:p w14:paraId="1D9808DA" w14:textId="6A979998" w:rsidR="00D141C1" w:rsidRDefault="00A50F2B" w:rsidP="00F74233">
      <w:pPr>
        <w:pStyle w:val="Default"/>
        <w:spacing w:line="280" w:lineRule="atLeast"/>
        <w:rPr>
          <w:rFonts w:ascii="Georgia" w:hAnsi="Georgia" w:cstheme="minorBidi"/>
          <w:color w:val="auto"/>
          <w:sz w:val="20"/>
          <w:szCs w:val="22"/>
        </w:rPr>
      </w:pPr>
      <w:r>
        <w:rPr>
          <w:rFonts w:ascii="Georgia" w:hAnsi="Georgia" w:cstheme="minorBidi"/>
          <w:color w:val="auto"/>
          <w:sz w:val="20"/>
          <w:szCs w:val="22"/>
        </w:rPr>
        <w:t>Styregruppen</w:t>
      </w:r>
      <w:r w:rsidR="00A5543A">
        <w:rPr>
          <w:rFonts w:ascii="Georgia" w:hAnsi="Georgia" w:cstheme="minorBidi"/>
          <w:color w:val="auto"/>
          <w:sz w:val="20"/>
          <w:szCs w:val="22"/>
        </w:rPr>
        <w:t xml:space="preserve"> besluttede på sit møde den </w:t>
      </w:r>
      <w:r>
        <w:rPr>
          <w:rFonts w:ascii="Georgia" w:hAnsi="Georgia" w:cstheme="minorBidi"/>
          <w:color w:val="auto"/>
          <w:sz w:val="20"/>
          <w:szCs w:val="22"/>
        </w:rPr>
        <w:t>11. september 2023</w:t>
      </w:r>
      <w:r w:rsidR="00A5543A">
        <w:rPr>
          <w:rFonts w:ascii="Georgia" w:hAnsi="Georgia" w:cstheme="minorBidi"/>
          <w:color w:val="auto"/>
          <w:sz w:val="20"/>
          <w:szCs w:val="22"/>
        </w:rPr>
        <w:t>, at der ikke afholdes partnerdag i 2023</w:t>
      </w:r>
      <w:r w:rsidR="00BF5FEC">
        <w:rPr>
          <w:rFonts w:ascii="Georgia" w:hAnsi="Georgia" w:cstheme="minorBidi"/>
          <w:color w:val="auto"/>
          <w:sz w:val="20"/>
          <w:szCs w:val="22"/>
        </w:rPr>
        <w:t xml:space="preserve">. Midlerne </w:t>
      </w:r>
      <w:r w:rsidR="003C4403">
        <w:rPr>
          <w:rFonts w:ascii="Georgia" w:hAnsi="Georgia" w:cstheme="minorBidi"/>
          <w:color w:val="auto"/>
          <w:sz w:val="20"/>
          <w:szCs w:val="22"/>
        </w:rPr>
        <w:t>blive</w:t>
      </w:r>
      <w:r w:rsidR="00BF5FEC">
        <w:rPr>
          <w:rFonts w:ascii="Georgia" w:hAnsi="Georgia" w:cstheme="minorBidi"/>
          <w:color w:val="auto"/>
          <w:sz w:val="20"/>
          <w:szCs w:val="22"/>
        </w:rPr>
        <w:t>r</w:t>
      </w:r>
      <w:r w:rsidR="003C4403">
        <w:rPr>
          <w:rFonts w:ascii="Georgia" w:hAnsi="Georgia" w:cstheme="minorBidi"/>
          <w:color w:val="auto"/>
          <w:sz w:val="20"/>
          <w:szCs w:val="22"/>
        </w:rPr>
        <w:t xml:space="preserve"> overført til </w:t>
      </w:r>
      <w:r w:rsidR="002E6ACE">
        <w:rPr>
          <w:rFonts w:ascii="Georgia" w:hAnsi="Georgia" w:cstheme="minorBidi"/>
          <w:color w:val="auto"/>
          <w:sz w:val="20"/>
          <w:szCs w:val="22"/>
        </w:rPr>
        <w:t>udvikling af resultatvisning</w:t>
      </w:r>
      <w:r w:rsidR="00ED25A8">
        <w:rPr>
          <w:rFonts w:ascii="Georgia" w:hAnsi="Georgia" w:cstheme="minorBidi"/>
          <w:color w:val="auto"/>
          <w:sz w:val="20"/>
          <w:szCs w:val="22"/>
        </w:rPr>
        <w:t xml:space="preserve"> i budget 2024</w:t>
      </w:r>
      <w:r w:rsidR="002E6ACE">
        <w:rPr>
          <w:rFonts w:ascii="Georgia" w:hAnsi="Georgia" w:cstheme="minorBidi"/>
          <w:color w:val="auto"/>
          <w:sz w:val="20"/>
          <w:szCs w:val="22"/>
        </w:rPr>
        <w:t xml:space="preserve">. </w:t>
      </w:r>
    </w:p>
    <w:p w14:paraId="1C75709B" w14:textId="77777777" w:rsidR="00F34D17" w:rsidRDefault="00F34D17" w:rsidP="00F74233">
      <w:pPr>
        <w:spacing w:after="0" w:line="280" w:lineRule="atLeast"/>
        <w:rPr>
          <w:rFonts w:ascii="Georgia" w:hAnsi="Georgia"/>
          <w:sz w:val="20"/>
        </w:rPr>
      </w:pPr>
    </w:p>
    <w:p w14:paraId="15B97687" w14:textId="12D2B7A9" w:rsidR="00F34D17" w:rsidRDefault="00F34D17" w:rsidP="00F74233">
      <w:pPr>
        <w:spacing w:after="0" w:line="280" w:lineRule="atLeast"/>
        <w:rPr>
          <w:rFonts w:ascii="Georgia" w:hAnsi="Georgia" w:cs="Arial"/>
          <w:b/>
          <w:bCs/>
          <w:sz w:val="24"/>
          <w:szCs w:val="24"/>
        </w:rPr>
      </w:pPr>
      <w:r w:rsidRPr="008529F0">
        <w:rPr>
          <w:rFonts w:ascii="Georgia" w:hAnsi="Georgia" w:cs="Arial"/>
          <w:b/>
          <w:bCs/>
          <w:sz w:val="24"/>
          <w:szCs w:val="24"/>
        </w:rPr>
        <w:t>Budget</w:t>
      </w:r>
      <w:r>
        <w:rPr>
          <w:rFonts w:ascii="Georgia" w:hAnsi="Georgia" w:cs="Arial"/>
          <w:b/>
          <w:bCs/>
          <w:sz w:val="24"/>
          <w:szCs w:val="24"/>
        </w:rPr>
        <w:t xml:space="preserve"> 202</w:t>
      </w:r>
      <w:r w:rsidR="00A152B6">
        <w:rPr>
          <w:rFonts w:ascii="Georgia" w:hAnsi="Georgia" w:cs="Arial"/>
          <w:b/>
          <w:bCs/>
          <w:sz w:val="24"/>
          <w:szCs w:val="24"/>
        </w:rPr>
        <w:t>4</w:t>
      </w:r>
    </w:p>
    <w:p w14:paraId="478C0F21" w14:textId="154B52C5" w:rsidR="00CC3B3B" w:rsidRDefault="00CC3B3B" w:rsidP="00F74233">
      <w:pPr>
        <w:spacing w:after="0" w:line="280" w:lineRule="atLeast"/>
        <w:rPr>
          <w:rFonts w:ascii="Georgia" w:hAnsi="Georgia"/>
          <w:sz w:val="20"/>
        </w:rPr>
      </w:pPr>
      <w:r w:rsidRPr="00751B14">
        <w:rPr>
          <w:rFonts w:ascii="Georgia" w:hAnsi="Georgia"/>
          <w:sz w:val="20"/>
        </w:rPr>
        <w:t xml:space="preserve">Omkostningerne </w:t>
      </w:r>
      <w:r w:rsidR="00417F21" w:rsidRPr="00751B14">
        <w:rPr>
          <w:rFonts w:ascii="Georgia" w:hAnsi="Georgia"/>
          <w:sz w:val="20"/>
        </w:rPr>
        <w:t>til løn</w:t>
      </w:r>
      <w:r w:rsidR="00AC75C2">
        <w:rPr>
          <w:rFonts w:ascii="Georgia" w:hAnsi="Georgia"/>
          <w:sz w:val="20"/>
        </w:rPr>
        <w:t xml:space="preserve"> foreslå</w:t>
      </w:r>
      <w:r w:rsidR="008269E5">
        <w:rPr>
          <w:rFonts w:ascii="Georgia" w:hAnsi="Georgia"/>
          <w:sz w:val="20"/>
        </w:rPr>
        <w:t>s</w:t>
      </w:r>
      <w:r w:rsidR="00AC75C2">
        <w:rPr>
          <w:rFonts w:ascii="Georgia" w:hAnsi="Georgia"/>
          <w:sz w:val="20"/>
        </w:rPr>
        <w:t xml:space="preserve"> </w:t>
      </w:r>
      <w:r w:rsidR="007210F8">
        <w:rPr>
          <w:rFonts w:ascii="Georgia" w:hAnsi="Georgia"/>
          <w:sz w:val="20"/>
        </w:rPr>
        <w:t>justeret til et niveau lidt under 2023</w:t>
      </w:r>
      <w:r w:rsidR="00196ED6">
        <w:rPr>
          <w:rFonts w:ascii="Georgia" w:hAnsi="Georgia"/>
          <w:sz w:val="20"/>
        </w:rPr>
        <w:t>. Det skyldes en forventning om, at udviklingsarbejdet</w:t>
      </w:r>
      <w:r w:rsidR="00766265">
        <w:rPr>
          <w:rFonts w:ascii="Georgia" w:hAnsi="Georgia"/>
          <w:sz w:val="20"/>
        </w:rPr>
        <w:t xml:space="preserve"> i 2024 vil kræve en del ressourcer </w:t>
      </w:r>
      <w:r w:rsidR="004E75F3">
        <w:rPr>
          <w:rFonts w:ascii="Georgia" w:hAnsi="Georgia"/>
          <w:sz w:val="20"/>
        </w:rPr>
        <w:t xml:space="preserve">ligesom det gjorde </w:t>
      </w:r>
      <w:r w:rsidR="00F62FF3">
        <w:rPr>
          <w:rFonts w:ascii="Georgia" w:hAnsi="Georgia"/>
          <w:sz w:val="20"/>
        </w:rPr>
        <w:t xml:space="preserve">i </w:t>
      </w:r>
      <w:r w:rsidR="004E75F3">
        <w:rPr>
          <w:rFonts w:ascii="Georgia" w:hAnsi="Georgia"/>
          <w:sz w:val="20"/>
        </w:rPr>
        <w:t xml:space="preserve">indeværende år, men at </w:t>
      </w:r>
      <w:r w:rsidR="00040B0A">
        <w:rPr>
          <w:rFonts w:ascii="Georgia" w:hAnsi="Georgia"/>
          <w:sz w:val="20"/>
        </w:rPr>
        <w:t>ressourcerne til gennemførsel af evalueringer i partnerskabet mindskes med strømlining af systemer.</w:t>
      </w:r>
      <w:r w:rsidR="00D8706C">
        <w:rPr>
          <w:rFonts w:ascii="Georgia" w:hAnsi="Georgia"/>
          <w:sz w:val="20"/>
        </w:rPr>
        <w:t xml:space="preserve"> </w:t>
      </w:r>
      <w:r w:rsidR="00040B0A">
        <w:rPr>
          <w:rFonts w:ascii="Georgia" w:hAnsi="Georgia"/>
          <w:sz w:val="20"/>
        </w:rPr>
        <w:t xml:space="preserve">I 2024 forventes </w:t>
      </w:r>
      <w:r w:rsidR="009F4525">
        <w:rPr>
          <w:rFonts w:ascii="Georgia" w:hAnsi="Georgia"/>
          <w:sz w:val="20"/>
        </w:rPr>
        <w:t xml:space="preserve">alle </w:t>
      </w:r>
      <w:r w:rsidR="00F62FF3">
        <w:rPr>
          <w:rFonts w:ascii="Georgia" w:hAnsi="Georgia"/>
          <w:sz w:val="20"/>
        </w:rPr>
        <w:t>kommuner</w:t>
      </w:r>
      <w:r w:rsidR="009F4525">
        <w:rPr>
          <w:rFonts w:ascii="Georgia" w:hAnsi="Georgia"/>
          <w:sz w:val="20"/>
        </w:rPr>
        <w:t xml:space="preserve"> at være</w:t>
      </w:r>
      <w:r w:rsidR="00A95806">
        <w:rPr>
          <w:rFonts w:ascii="Georgia" w:hAnsi="Georgia"/>
          <w:sz w:val="20"/>
        </w:rPr>
        <w:t xml:space="preserve"> godt introduceret til </w:t>
      </w:r>
      <w:r w:rsidR="009F4525">
        <w:rPr>
          <w:rFonts w:ascii="Georgia" w:hAnsi="Georgia"/>
          <w:sz w:val="20"/>
        </w:rPr>
        <w:t xml:space="preserve">partnerskabet, hvormed den </w:t>
      </w:r>
      <w:r w:rsidR="00A90F7D">
        <w:rPr>
          <w:rFonts w:ascii="Georgia" w:hAnsi="Georgia"/>
          <w:sz w:val="20"/>
        </w:rPr>
        <w:t>sekretariats</w:t>
      </w:r>
      <w:r w:rsidR="009F4525">
        <w:rPr>
          <w:rFonts w:ascii="Georgia" w:hAnsi="Georgia"/>
          <w:sz w:val="20"/>
        </w:rPr>
        <w:t xml:space="preserve">opgave også </w:t>
      </w:r>
      <w:r w:rsidR="00A90F7D">
        <w:rPr>
          <w:rFonts w:ascii="Georgia" w:hAnsi="Georgia"/>
          <w:sz w:val="20"/>
        </w:rPr>
        <w:t>mindskes</w:t>
      </w:r>
      <w:r w:rsidR="009F4525">
        <w:rPr>
          <w:rFonts w:ascii="Georgia" w:hAnsi="Georgia"/>
          <w:sz w:val="20"/>
        </w:rPr>
        <w:t xml:space="preserve">. </w:t>
      </w:r>
    </w:p>
    <w:p w14:paraId="78B7244C" w14:textId="77777777" w:rsidR="00D303FC" w:rsidRDefault="00D303FC" w:rsidP="00F74233">
      <w:pPr>
        <w:spacing w:after="0" w:line="280" w:lineRule="atLeast"/>
        <w:rPr>
          <w:rFonts w:ascii="Georgia" w:hAnsi="Georgia"/>
          <w:sz w:val="20"/>
        </w:rPr>
      </w:pPr>
    </w:p>
    <w:p w14:paraId="6B973BC6" w14:textId="199BF6C9" w:rsidR="00F154CD" w:rsidRDefault="006B0910" w:rsidP="00F74233">
      <w:pPr>
        <w:spacing w:after="0" w:line="280" w:lineRule="atLeas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Der er fortsat b</w:t>
      </w:r>
      <w:r w:rsidR="000D6115">
        <w:rPr>
          <w:rFonts w:ascii="Georgia" w:hAnsi="Georgia"/>
          <w:sz w:val="20"/>
        </w:rPr>
        <w:t xml:space="preserve">ehov for at udvikle </w:t>
      </w:r>
      <w:r w:rsidR="006B4133">
        <w:rPr>
          <w:rFonts w:ascii="Georgia" w:hAnsi="Georgia"/>
          <w:sz w:val="20"/>
        </w:rPr>
        <w:t xml:space="preserve">de resultatvisningsværktøjer, som </w:t>
      </w:r>
      <w:r>
        <w:rPr>
          <w:rFonts w:ascii="Georgia" w:hAnsi="Georgia"/>
          <w:sz w:val="20"/>
        </w:rPr>
        <w:t>partnerskabet</w:t>
      </w:r>
      <w:r w:rsidR="006B4133">
        <w:rPr>
          <w:rFonts w:ascii="Georgia" w:hAnsi="Georgia"/>
          <w:sz w:val="20"/>
        </w:rPr>
        <w:t xml:space="preserve"> stiller til rådighed for partnerne, både hvad angår evaluering blandt studerende, elever og praktikvejledere.</w:t>
      </w:r>
      <w:r w:rsidR="00CC18CA">
        <w:rPr>
          <w:rFonts w:ascii="Georgia" w:hAnsi="Georgia"/>
          <w:sz w:val="20"/>
        </w:rPr>
        <w:t xml:space="preserve"> </w:t>
      </w:r>
      <w:r w:rsidR="00F154CD" w:rsidRPr="00751B14">
        <w:rPr>
          <w:rFonts w:ascii="Georgia" w:hAnsi="Georgia"/>
          <w:sz w:val="20"/>
        </w:rPr>
        <w:t xml:space="preserve">Forslag om fortsat </w:t>
      </w:r>
      <w:r w:rsidR="00225477">
        <w:rPr>
          <w:rFonts w:ascii="Georgia" w:hAnsi="Georgia"/>
          <w:sz w:val="20"/>
        </w:rPr>
        <w:t xml:space="preserve">anvendelse af ekstern konsulentbistand til </w:t>
      </w:r>
      <w:r w:rsidR="00F154CD" w:rsidRPr="00751B14">
        <w:rPr>
          <w:rFonts w:ascii="Georgia" w:hAnsi="Georgia"/>
          <w:sz w:val="20"/>
        </w:rPr>
        <w:t>udvikling er lagt ind i budgettet.</w:t>
      </w:r>
    </w:p>
    <w:p w14:paraId="73762291" w14:textId="77777777" w:rsidR="009948A3" w:rsidRDefault="009948A3" w:rsidP="00F74233">
      <w:pPr>
        <w:spacing w:after="0" w:line="280" w:lineRule="atLeast"/>
        <w:rPr>
          <w:rFonts w:ascii="Georgia" w:hAnsi="Georgia"/>
          <w:sz w:val="20"/>
        </w:rPr>
      </w:pPr>
    </w:p>
    <w:p w14:paraId="56E77FAA" w14:textId="4F51A37D" w:rsidR="009948A3" w:rsidRDefault="009948A3" w:rsidP="00F74233">
      <w:pPr>
        <w:spacing w:after="0" w:line="280" w:lineRule="atLeast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Der forventes et mindre forbrug til </w:t>
      </w:r>
      <w:r w:rsidR="008569EF">
        <w:rPr>
          <w:rFonts w:ascii="Georgia" w:hAnsi="Georgia"/>
          <w:sz w:val="20"/>
        </w:rPr>
        <w:t>arrangementer i partnerskaber, hvor hovedpa</w:t>
      </w:r>
      <w:r w:rsidR="00F913F7">
        <w:rPr>
          <w:rFonts w:ascii="Georgia" w:hAnsi="Georgia"/>
          <w:sz w:val="20"/>
        </w:rPr>
        <w:t xml:space="preserve">rten vil blive afholdt online. </w:t>
      </w:r>
      <w:r w:rsidR="00E17C97">
        <w:rPr>
          <w:rFonts w:ascii="Georgia" w:hAnsi="Georgia"/>
          <w:sz w:val="20"/>
        </w:rPr>
        <w:t>Der er budgetteret med en partnerdag, hvis styregruppen beslutter at den skal gennemføres i 2024.</w:t>
      </w:r>
    </w:p>
    <w:p w14:paraId="17BDCE89" w14:textId="77777777" w:rsidR="0090032C" w:rsidRDefault="0090032C" w:rsidP="00F7423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64D254CC" w14:textId="43BDE400" w:rsidR="00FE7ECF" w:rsidRPr="008529F0" w:rsidRDefault="00FE7ECF" w:rsidP="00F74233">
      <w:pPr>
        <w:spacing w:after="0" w:line="280" w:lineRule="atLeast"/>
        <w:rPr>
          <w:rFonts w:ascii="Georgia" w:hAnsi="Georgia" w:cs="Arial"/>
          <w:b/>
          <w:bCs/>
          <w:sz w:val="20"/>
          <w:szCs w:val="20"/>
        </w:rPr>
      </w:pPr>
      <w:r w:rsidRPr="008529F0">
        <w:rPr>
          <w:rFonts w:ascii="Georgia" w:hAnsi="Georgia" w:cs="Arial"/>
          <w:b/>
          <w:bCs/>
          <w:sz w:val="20"/>
          <w:szCs w:val="20"/>
        </w:rPr>
        <w:t xml:space="preserve">Tabel </w:t>
      </w:r>
      <w:r w:rsidR="003A3AD7">
        <w:rPr>
          <w:rFonts w:ascii="Georgia" w:hAnsi="Georgia" w:cs="Arial"/>
          <w:b/>
          <w:bCs/>
          <w:sz w:val="20"/>
          <w:szCs w:val="20"/>
        </w:rPr>
        <w:t>2</w:t>
      </w:r>
      <w:r w:rsidRPr="008529F0">
        <w:rPr>
          <w:rFonts w:ascii="Georgia" w:hAnsi="Georgia" w:cs="Arial"/>
          <w:b/>
          <w:bCs/>
          <w:sz w:val="20"/>
          <w:szCs w:val="20"/>
        </w:rPr>
        <w:t xml:space="preserve">: </w:t>
      </w:r>
      <w:r w:rsidR="003A3AD7">
        <w:rPr>
          <w:rFonts w:ascii="Georgia" w:hAnsi="Georgia" w:cs="Arial"/>
          <w:b/>
          <w:bCs/>
          <w:sz w:val="20"/>
          <w:szCs w:val="20"/>
        </w:rPr>
        <w:t>Forslag til budget 202</w:t>
      </w:r>
      <w:r w:rsidR="00F913F7">
        <w:rPr>
          <w:rFonts w:ascii="Georgia" w:hAnsi="Georgia" w:cs="Arial"/>
          <w:b/>
          <w:bCs/>
          <w:sz w:val="20"/>
          <w:szCs w:val="20"/>
        </w:rPr>
        <w:t>4</w:t>
      </w:r>
      <w:r w:rsidR="007A6405" w:rsidRPr="008529F0">
        <w:rPr>
          <w:rFonts w:ascii="Georgia" w:hAnsi="Georgia" w:cs="Arial"/>
          <w:b/>
          <w:bCs/>
          <w:sz w:val="20"/>
          <w:szCs w:val="20"/>
        </w:rPr>
        <w:t xml:space="preserve"> </w: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500"/>
      </w:tblGrid>
      <w:tr w:rsidR="00650123" w:rsidRPr="008529F0" w14:paraId="782563C6" w14:textId="77777777" w:rsidTr="00650123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5C4C56D5" w14:textId="77777777" w:rsidR="00650123" w:rsidRPr="008529F0" w:rsidRDefault="00650123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Aktiviteter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1D26CB77" w14:textId="070CB731" w:rsidR="00650123" w:rsidRPr="008529F0" w:rsidRDefault="00650123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Budget 2024</w:t>
            </w:r>
          </w:p>
        </w:tc>
      </w:tr>
      <w:tr w:rsidR="00650123" w:rsidRPr="008529F0" w14:paraId="76D1570E" w14:textId="77777777" w:rsidTr="00650123">
        <w:trPr>
          <w:trHeight w:val="57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92F2" w14:textId="680F21C0" w:rsidR="00650123" w:rsidRPr="008529F0" w:rsidRDefault="00650123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Løn til sekretariatet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440E" w14:textId="6D5A7A5F" w:rsidR="00650123" w:rsidRPr="008529F0" w:rsidRDefault="00650123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E140A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9</w:t>
            </w:r>
            <w:r w:rsidRPr="00E140A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00.000     </w:t>
            </w:r>
          </w:p>
        </w:tc>
      </w:tr>
      <w:tr w:rsidR="00650123" w:rsidRPr="008529F0" w14:paraId="122EDF69" w14:textId="77777777" w:rsidTr="00650123">
        <w:trPr>
          <w:trHeight w:val="87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66D0" w14:textId="258199E0" w:rsidR="00650123" w:rsidRPr="008529F0" w:rsidRDefault="00650123" w:rsidP="00F74233">
            <w:pPr>
              <w:spacing w:after="0" w:line="280" w:lineRule="atLeast"/>
              <w:rPr>
                <w:rFonts w:ascii="Georgia" w:hAnsi="Georgia" w:cs="Arial"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color w:val="000000"/>
                <w:sz w:val="18"/>
                <w:szCs w:val="18"/>
              </w:rPr>
              <w:t>Driftsomkostninger - Ekstern konsulentbistand til udvikling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5BE0" w14:textId="52BA6C13" w:rsidR="00650123" w:rsidRPr="008529F0" w:rsidRDefault="005977DD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5977D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3</w:t>
            </w:r>
            <w:r w:rsidR="00E17C97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6</w:t>
            </w:r>
            <w:r w:rsidRPr="005977D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9.086     </w:t>
            </w:r>
          </w:p>
        </w:tc>
      </w:tr>
      <w:tr w:rsidR="00650123" w:rsidRPr="008529F0" w14:paraId="202330D6" w14:textId="77777777" w:rsidTr="00650123">
        <w:trPr>
          <w:trHeight w:val="585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3192" w14:textId="65FEE17A" w:rsidR="00650123" w:rsidRPr="008529F0" w:rsidRDefault="00650123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Driftsomkostninger - A</w:t>
            </w: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ndre arrangementer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3E50" w14:textId="6D1EEF4F" w:rsidR="00650123" w:rsidRPr="00E140AD" w:rsidRDefault="00E17C97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4</w:t>
            </w:r>
            <w:r w:rsidR="0065012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5.000</w:t>
            </w:r>
            <w:r w:rsidR="00650123" w:rsidRPr="00E140AD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    </w:t>
            </w:r>
          </w:p>
        </w:tc>
      </w:tr>
      <w:tr w:rsidR="00650123" w:rsidRPr="008529F0" w14:paraId="4C67F83C" w14:textId="77777777" w:rsidTr="00650123">
        <w:trPr>
          <w:trHeight w:val="330"/>
        </w:trPr>
        <w:tc>
          <w:tcPr>
            <w:tcW w:w="4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154EA0" w14:textId="77777777" w:rsidR="00650123" w:rsidRPr="008529F0" w:rsidRDefault="00650123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Omkostninger i alt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DF3CDF3" w14:textId="576890B9" w:rsidR="00650123" w:rsidRPr="008529F0" w:rsidRDefault="00650123" w:rsidP="00F74233">
            <w:pPr>
              <w:spacing w:after="0" w:line="280" w:lineRule="atLeast"/>
              <w:rPr>
                <w:rFonts w:ascii="Georgia" w:hAnsi="Georgia"/>
                <w:sz w:val="18"/>
                <w:szCs w:val="18"/>
              </w:rPr>
            </w:pPr>
            <w:r w:rsidRPr="009948A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 w:rsidR="003A2158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314</w:t>
            </w:r>
            <w:r w:rsidRPr="009948A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.</w:t>
            </w:r>
            <w:r w:rsidR="00676AC4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086</w:t>
            </w:r>
            <w:r w:rsidRPr="009948A3">
              <w:rPr>
                <w:b/>
                <w:bCs/>
              </w:rPr>
              <w:t xml:space="preserve">     </w:t>
            </w:r>
          </w:p>
        </w:tc>
      </w:tr>
    </w:tbl>
    <w:p w14:paraId="48D43322" w14:textId="532ECC47" w:rsidR="00095F19" w:rsidRPr="008529F0" w:rsidRDefault="00D15566" w:rsidP="00F74233">
      <w:pPr>
        <w:spacing w:after="0" w:line="280" w:lineRule="atLeast"/>
        <w:rPr>
          <w:rFonts w:ascii="Georgia" w:hAnsi="Georgia" w:cs="Arial"/>
          <w:sz w:val="16"/>
          <w:szCs w:val="16"/>
        </w:rPr>
      </w:pPr>
      <w:r w:rsidRPr="008529F0">
        <w:rPr>
          <w:rFonts w:ascii="Georgia" w:hAnsi="Georgia" w:cs="Arial"/>
          <w:sz w:val="16"/>
          <w:szCs w:val="16"/>
        </w:rPr>
        <w:t>Note: Lønomkostninger omfatter drift af praktikevalueringer, afrapportering og analyser samt sekretariatsbetjening</w:t>
      </w:r>
      <w:r w:rsidR="00FB1608" w:rsidRPr="008529F0">
        <w:rPr>
          <w:rFonts w:ascii="Georgia" w:hAnsi="Georgia" w:cs="Arial"/>
          <w:sz w:val="16"/>
          <w:szCs w:val="16"/>
        </w:rPr>
        <w:t xml:space="preserve"> – samt videreudvikling</w:t>
      </w:r>
      <w:r w:rsidR="00FC49A7" w:rsidRPr="008529F0">
        <w:rPr>
          <w:rFonts w:ascii="Georgia" w:hAnsi="Georgia" w:cs="Arial"/>
          <w:sz w:val="16"/>
          <w:szCs w:val="16"/>
        </w:rPr>
        <w:t xml:space="preserve"> af </w:t>
      </w:r>
      <w:r w:rsidR="003D0AA3">
        <w:rPr>
          <w:rFonts w:ascii="Georgia" w:hAnsi="Georgia" w:cs="Arial"/>
          <w:sz w:val="16"/>
          <w:szCs w:val="16"/>
        </w:rPr>
        <w:t>resultatvisninger</w:t>
      </w:r>
      <w:r w:rsidRPr="008529F0">
        <w:rPr>
          <w:rFonts w:ascii="Georgia" w:hAnsi="Georgia" w:cs="Arial"/>
          <w:sz w:val="16"/>
          <w:szCs w:val="16"/>
        </w:rPr>
        <w:t>.</w:t>
      </w:r>
      <w:r w:rsidR="00F10BEB" w:rsidRPr="008529F0">
        <w:rPr>
          <w:rFonts w:ascii="Georgia" w:hAnsi="Georgia" w:cs="Arial"/>
          <w:sz w:val="16"/>
          <w:szCs w:val="16"/>
        </w:rPr>
        <w:t xml:space="preserve"> </w:t>
      </w:r>
    </w:p>
    <w:p w14:paraId="677E7654" w14:textId="77777777" w:rsidR="007A6405" w:rsidRDefault="007A6405" w:rsidP="00F74233">
      <w:pPr>
        <w:spacing w:after="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1D6DE4A4" w14:textId="03BB0EAB" w:rsidR="001441D7" w:rsidRPr="008529F0" w:rsidRDefault="001441D7" w:rsidP="00F74233">
      <w:pPr>
        <w:spacing w:after="0" w:line="280" w:lineRule="atLeast"/>
        <w:rPr>
          <w:rFonts w:ascii="Georgia" w:hAnsi="Georgia" w:cs="Arial"/>
          <w:b/>
          <w:bCs/>
          <w:sz w:val="24"/>
          <w:szCs w:val="24"/>
        </w:rPr>
      </w:pPr>
      <w:r w:rsidRPr="008529F0">
        <w:rPr>
          <w:rFonts w:ascii="Georgia" w:hAnsi="Georgia" w:cs="Arial"/>
          <w:b/>
          <w:bCs/>
          <w:sz w:val="24"/>
          <w:szCs w:val="24"/>
        </w:rPr>
        <w:t>Finansiering 202</w:t>
      </w:r>
      <w:r w:rsidR="001F1FB3">
        <w:rPr>
          <w:rFonts w:ascii="Georgia" w:hAnsi="Georgia" w:cs="Arial"/>
          <w:b/>
          <w:bCs/>
          <w:sz w:val="24"/>
          <w:szCs w:val="24"/>
        </w:rPr>
        <w:t>4</w:t>
      </w:r>
    </w:p>
    <w:p w14:paraId="320DC465" w14:textId="301CE59C" w:rsidR="00C65D46" w:rsidRDefault="00616CC8" w:rsidP="00F74233">
      <w:pPr>
        <w:spacing w:after="0" w:line="280" w:lineRule="atLeast"/>
        <w:rPr>
          <w:rFonts w:ascii="Georgia" w:hAnsi="Georgia" w:cs="Arial"/>
          <w:sz w:val="20"/>
          <w:szCs w:val="20"/>
        </w:rPr>
      </w:pPr>
      <w:r w:rsidRPr="008529F0">
        <w:rPr>
          <w:rFonts w:ascii="Georgia" w:hAnsi="Georgia" w:cs="Arial"/>
          <w:sz w:val="20"/>
          <w:szCs w:val="20"/>
        </w:rPr>
        <w:t>2</w:t>
      </w:r>
      <w:r w:rsidR="00587DF0">
        <w:rPr>
          <w:rFonts w:ascii="Georgia" w:hAnsi="Georgia" w:cs="Arial"/>
          <w:sz w:val="20"/>
          <w:szCs w:val="20"/>
        </w:rPr>
        <w:t>9</w:t>
      </w:r>
      <w:r w:rsidR="00D04E17" w:rsidRPr="008529F0">
        <w:rPr>
          <w:rFonts w:ascii="Georgia" w:hAnsi="Georgia" w:cs="Arial"/>
          <w:sz w:val="20"/>
          <w:szCs w:val="20"/>
        </w:rPr>
        <w:t xml:space="preserve"> kommuner, </w:t>
      </w:r>
      <w:r w:rsidR="001C70CB" w:rsidRPr="008529F0">
        <w:rPr>
          <w:rFonts w:ascii="Georgia" w:hAnsi="Georgia" w:cs="Arial"/>
          <w:sz w:val="20"/>
          <w:szCs w:val="20"/>
        </w:rPr>
        <w:t xml:space="preserve">Center for </w:t>
      </w:r>
      <w:r w:rsidR="00106F54" w:rsidRPr="008529F0">
        <w:rPr>
          <w:rFonts w:ascii="Georgia" w:hAnsi="Georgia" w:cs="Arial"/>
          <w:sz w:val="20"/>
          <w:szCs w:val="20"/>
        </w:rPr>
        <w:t>HR og Uddannelse</w:t>
      </w:r>
      <w:r w:rsidR="006A6785" w:rsidRPr="008529F0">
        <w:rPr>
          <w:rFonts w:ascii="Georgia" w:hAnsi="Georgia" w:cs="Arial"/>
          <w:sz w:val="20"/>
          <w:szCs w:val="20"/>
        </w:rPr>
        <w:t xml:space="preserve"> (Region H), SOSU H, KP og Bornholms Sundhed- og Sygeplejeskole</w:t>
      </w:r>
      <w:r w:rsidRPr="008529F0">
        <w:rPr>
          <w:rFonts w:ascii="Georgia" w:hAnsi="Georgia" w:cs="Arial"/>
          <w:sz w:val="20"/>
          <w:szCs w:val="20"/>
        </w:rPr>
        <w:t xml:space="preserve"> og </w:t>
      </w:r>
      <w:r w:rsidR="006A6785" w:rsidRPr="008529F0">
        <w:rPr>
          <w:rFonts w:ascii="Georgia" w:hAnsi="Georgia" w:cs="Arial"/>
          <w:sz w:val="20"/>
          <w:szCs w:val="20"/>
        </w:rPr>
        <w:t>UC Diakonissestiftelsen medfinansiere</w:t>
      </w:r>
      <w:r w:rsidR="000F5B99" w:rsidRPr="008529F0">
        <w:rPr>
          <w:rFonts w:ascii="Georgia" w:hAnsi="Georgia" w:cs="Arial"/>
          <w:sz w:val="20"/>
          <w:szCs w:val="20"/>
        </w:rPr>
        <w:t>r</w:t>
      </w:r>
      <w:r w:rsidRPr="008529F0">
        <w:rPr>
          <w:rFonts w:ascii="Georgia" w:hAnsi="Georgia" w:cs="Arial"/>
          <w:sz w:val="20"/>
          <w:szCs w:val="20"/>
        </w:rPr>
        <w:t xml:space="preserve"> partnerskabet i 202</w:t>
      </w:r>
      <w:r w:rsidR="001F1FB3">
        <w:rPr>
          <w:rFonts w:ascii="Georgia" w:hAnsi="Georgia" w:cs="Arial"/>
          <w:sz w:val="20"/>
          <w:szCs w:val="20"/>
        </w:rPr>
        <w:t>4</w:t>
      </w:r>
      <w:r w:rsidRPr="008529F0">
        <w:rPr>
          <w:rFonts w:ascii="Georgia" w:hAnsi="Georgia" w:cs="Arial"/>
          <w:sz w:val="20"/>
          <w:szCs w:val="20"/>
        </w:rPr>
        <w:t xml:space="preserve">. </w:t>
      </w:r>
      <w:r w:rsidR="00425D35">
        <w:rPr>
          <w:rFonts w:ascii="Georgia" w:hAnsi="Georgia" w:cs="Arial"/>
          <w:sz w:val="20"/>
          <w:szCs w:val="20"/>
        </w:rPr>
        <w:t>Medfinansieringen er reguleret med det genelle løn- og prisindeks</w:t>
      </w:r>
      <w:r w:rsidR="00B962EB">
        <w:rPr>
          <w:rStyle w:val="Fodnotehenvisning"/>
          <w:rFonts w:ascii="Georgia" w:hAnsi="Georgia" w:cs="Arial"/>
          <w:sz w:val="20"/>
          <w:szCs w:val="20"/>
        </w:rPr>
        <w:footnoteReference w:id="2"/>
      </w:r>
      <w:r w:rsidR="003B202B">
        <w:rPr>
          <w:rFonts w:ascii="Georgia" w:hAnsi="Georgia" w:cs="Arial"/>
          <w:sz w:val="20"/>
          <w:szCs w:val="20"/>
        </w:rPr>
        <w:t>.</w:t>
      </w:r>
      <w:r w:rsidR="003F716B">
        <w:rPr>
          <w:rFonts w:ascii="Georgia" w:hAnsi="Georgia" w:cs="Arial"/>
          <w:sz w:val="20"/>
          <w:szCs w:val="20"/>
        </w:rPr>
        <w:t xml:space="preserve"> </w:t>
      </w:r>
    </w:p>
    <w:p w14:paraId="534347E8" w14:textId="77777777" w:rsidR="001C7E01" w:rsidRDefault="001C7E01" w:rsidP="00F74233">
      <w:pPr>
        <w:spacing w:after="0" w:line="280" w:lineRule="atLeast"/>
        <w:rPr>
          <w:rFonts w:ascii="Georgia" w:hAnsi="Georgia" w:cs="Arial"/>
          <w:sz w:val="20"/>
          <w:szCs w:val="20"/>
        </w:rPr>
      </w:pPr>
    </w:p>
    <w:p w14:paraId="11E7323D" w14:textId="77777777" w:rsidR="001C7E01" w:rsidRDefault="001C7E01" w:rsidP="00F74233">
      <w:pPr>
        <w:spacing w:after="0" w:line="280" w:lineRule="atLeast"/>
        <w:rPr>
          <w:rFonts w:ascii="Georgia" w:hAnsi="Georgia" w:cs="Arial"/>
          <w:sz w:val="20"/>
          <w:szCs w:val="20"/>
        </w:rPr>
      </w:pPr>
    </w:p>
    <w:p w14:paraId="3C0A006A" w14:textId="77777777" w:rsidR="001C7E01" w:rsidRPr="008529F0" w:rsidRDefault="001C7E01" w:rsidP="00F74233">
      <w:pPr>
        <w:spacing w:after="0" w:line="280" w:lineRule="atLeast"/>
        <w:rPr>
          <w:rFonts w:ascii="Georgia" w:hAnsi="Georgia" w:cs="Arial"/>
          <w:sz w:val="20"/>
          <w:szCs w:val="20"/>
        </w:rPr>
      </w:pPr>
    </w:p>
    <w:p w14:paraId="7A5DB2AE" w14:textId="77777777" w:rsidR="00CE4A01" w:rsidRDefault="00CE4A01" w:rsidP="00F74233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A655722" w14:textId="3A2E64F4" w:rsidR="0032269A" w:rsidRPr="008529F0" w:rsidRDefault="00CE4A01" w:rsidP="00F74233">
      <w:pPr>
        <w:spacing w:after="0" w:line="280" w:lineRule="atLeast"/>
        <w:rPr>
          <w:rFonts w:ascii="Georgia" w:hAnsi="Georgia" w:cs="Arial"/>
          <w:b/>
          <w:bCs/>
          <w:sz w:val="20"/>
          <w:szCs w:val="20"/>
        </w:rPr>
      </w:pPr>
      <w:r w:rsidRPr="008529F0">
        <w:rPr>
          <w:rFonts w:ascii="Georgia" w:hAnsi="Georgia" w:cs="Arial"/>
          <w:b/>
          <w:bCs/>
          <w:sz w:val="20"/>
          <w:szCs w:val="20"/>
        </w:rPr>
        <w:lastRenderedPageBreak/>
        <w:t xml:space="preserve">Tabel </w:t>
      </w:r>
      <w:r w:rsidR="00F62336">
        <w:rPr>
          <w:rFonts w:ascii="Georgia" w:hAnsi="Georgia" w:cs="Arial"/>
          <w:b/>
          <w:bCs/>
          <w:sz w:val="20"/>
          <w:szCs w:val="20"/>
        </w:rPr>
        <w:t>3</w:t>
      </w:r>
      <w:r w:rsidRPr="008529F0">
        <w:rPr>
          <w:rFonts w:ascii="Georgia" w:hAnsi="Georgia" w:cs="Arial"/>
          <w:b/>
          <w:bCs/>
          <w:sz w:val="20"/>
          <w:szCs w:val="20"/>
        </w:rPr>
        <w:t>: Finansiering 202</w:t>
      </w:r>
      <w:r w:rsidR="001F1FB3">
        <w:rPr>
          <w:rFonts w:ascii="Georgia" w:hAnsi="Georgia" w:cs="Arial"/>
          <w:b/>
          <w:bCs/>
          <w:sz w:val="20"/>
          <w:szCs w:val="20"/>
        </w:rPr>
        <w:t>4</w:t>
      </w:r>
      <w:r w:rsidRPr="008529F0">
        <w:rPr>
          <w:rFonts w:ascii="Georgia" w:hAnsi="Georgia" w:cs="Arial"/>
          <w:b/>
          <w:bCs/>
          <w:sz w:val="20"/>
          <w:szCs w:val="20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3119"/>
      </w:tblGrid>
      <w:tr w:rsidR="00F62336" w:rsidRPr="008529F0" w14:paraId="622C55A2" w14:textId="77777777" w:rsidTr="00014B57">
        <w:trPr>
          <w:trHeight w:val="7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14:paraId="72590E6C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>Organisation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14:paraId="5D8B3939" w14:textId="7A076871" w:rsidR="00F62336" w:rsidRPr="008529F0" w:rsidRDefault="00F62336" w:rsidP="00F74233">
            <w:pPr>
              <w:spacing w:after="0" w:line="280" w:lineRule="atLeast"/>
              <w:jc w:val="center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da-DK"/>
              </w:rPr>
              <w:t xml:space="preserve">Medfinansiering </w:t>
            </w:r>
          </w:p>
        </w:tc>
      </w:tr>
      <w:tr w:rsidR="00F62336" w:rsidRPr="008529F0" w14:paraId="6BD17701" w14:textId="77777777" w:rsidTr="00014B57">
        <w:trPr>
          <w:trHeight w:val="585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E05BC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Københavns Professionshøjskole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EDFD" w14:textId="520D4442" w:rsidR="00F62336" w:rsidRPr="008529F0" w:rsidRDefault="00757584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75758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103.800</w:t>
            </w:r>
          </w:p>
        </w:tc>
      </w:tr>
      <w:tr w:rsidR="00F62336" w:rsidRPr="008529F0" w14:paraId="30C0D3AA" w14:textId="77777777" w:rsidTr="00014B57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5520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Center for HR og Uddannelse (Region H)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9EE3" w14:textId="35C9652A" w:rsidR="00F62336" w:rsidRPr="008529F0" w:rsidRDefault="00757584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75758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103.800</w:t>
            </w:r>
          </w:p>
        </w:tc>
      </w:tr>
      <w:tr w:rsidR="00F62336" w:rsidRPr="008529F0" w14:paraId="5B7C6C17" w14:textId="77777777" w:rsidTr="00014B57">
        <w:trPr>
          <w:trHeight w:val="484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F606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Sundheds- og Omsorgsforvaltningen (Københavns Kommune)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F3925" w14:textId="0A127E59" w:rsidR="00F62336" w:rsidRPr="008529F0" w:rsidRDefault="00757584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75758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103.800</w:t>
            </w:r>
          </w:p>
        </w:tc>
      </w:tr>
      <w:tr w:rsidR="00F62336" w:rsidRPr="008529F0" w14:paraId="5158018E" w14:textId="77777777" w:rsidTr="00014B57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8CFD" w14:textId="012A55AF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SOSU H  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AF90" w14:textId="36FC97C7" w:rsidR="00F62336" w:rsidRPr="008529F0" w:rsidRDefault="00FE16C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FE16CF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77.850</w:t>
            </w:r>
          </w:p>
        </w:tc>
      </w:tr>
      <w:tr w:rsidR="00F62336" w:rsidRPr="008529F0" w14:paraId="09150297" w14:textId="77777777" w:rsidTr="00014B57">
        <w:trPr>
          <w:trHeight w:val="465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7522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Kommunale partnere (ekskl. Københavns Kommune)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7D4F" w14:textId="6093F883" w:rsidR="00F62336" w:rsidRPr="008529F0" w:rsidRDefault="00FE16C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FE16CF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716.765</w:t>
            </w:r>
          </w:p>
        </w:tc>
      </w:tr>
      <w:tr w:rsidR="00F62336" w:rsidRPr="008529F0" w14:paraId="2E266CE2" w14:textId="77777777" w:rsidTr="00014B57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0EEF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UC Diakonissestiftelsen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A384" w14:textId="18E17C6C" w:rsidR="00F62336" w:rsidRPr="008529F0" w:rsidRDefault="00FE16C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FE16CF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15.928</w:t>
            </w:r>
          </w:p>
        </w:tc>
      </w:tr>
      <w:tr w:rsidR="00F62336" w:rsidRPr="008529F0" w14:paraId="3CBFFCC4" w14:textId="77777777" w:rsidTr="00014B57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F00C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Bornholms Sundheds- og Sygeplejeskole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BCF3" w14:textId="16495DDE" w:rsidR="00F62336" w:rsidRPr="008529F0" w:rsidRDefault="00FE16C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 w:rsidRPr="00FE16CF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15.928</w:t>
            </w:r>
          </w:p>
        </w:tc>
      </w:tr>
      <w:tr w:rsidR="00DC5D78" w:rsidRPr="008529F0" w14:paraId="6619DF73" w14:textId="77777777" w:rsidTr="00014B57">
        <w:trPr>
          <w:trHeight w:val="405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46705" w14:textId="2824A9BD" w:rsidR="00DC5D78" w:rsidRPr="008529F0" w:rsidRDefault="00DC5D78" w:rsidP="00F74233">
            <w:pPr>
              <w:spacing w:after="0" w:line="280" w:lineRule="atLeas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Overførte midler fra 2023</w:t>
            </w:r>
            <w:r w:rsidR="000B7CEE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 xml:space="preserve"> (resultatvisning og partnerdag*)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EABC" w14:textId="3626EEEE" w:rsidR="00DC5D78" w:rsidRPr="00FE16CF" w:rsidRDefault="00E7634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17</w:t>
            </w:r>
            <w:r w:rsidR="003A215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da-DK"/>
              </w:rPr>
              <w:t>6.215</w:t>
            </w:r>
          </w:p>
        </w:tc>
      </w:tr>
      <w:tr w:rsidR="00F62336" w:rsidRPr="008529F0" w14:paraId="0F4163C3" w14:textId="77777777" w:rsidTr="00014B57">
        <w:trPr>
          <w:trHeight w:val="465"/>
        </w:trPr>
        <w:tc>
          <w:tcPr>
            <w:tcW w:w="6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CD982" w14:textId="77777777" w:rsidR="00F62336" w:rsidRPr="008529F0" w:rsidRDefault="00F62336" w:rsidP="00F74233">
            <w:pPr>
              <w:spacing w:after="0" w:line="280" w:lineRule="atLeast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8529F0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Finansiering i alt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100A1" w14:textId="12BD6082" w:rsidR="00F62336" w:rsidRPr="008529F0" w:rsidRDefault="00FE16CF" w:rsidP="00F74233">
            <w:pPr>
              <w:spacing w:after="0" w:line="280" w:lineRule="atLeast"/>
              <w:jc w:val="right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1.</w:t>
            </w:r>
            <w:r w:rsidR="003A2158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da-DK"/>
              </w:rPr>
              <w:t>314.086</w:t>
            </w:r>
          </w:p>
        </w:tc>
      </w:tr>
    </w:tbl>
    <w:p w14:paraId="3C14B0A0" w14:textId="1DC798B1" w:rsidR="00106F54" w:rsidRPr="00C45236" w:rsidRDefault="000B7CEE" w:rsidP="00F74233">
      <w:pPr>
        <w:spacing w:after="0" w:line="280" w:lineRule="atLeast"/>
        <w:rPr>
          <w:rFonts w:ascii="Georgia" w:hAnsi="Georgia" w:cs="Arial"/>
          <w:sz w:val="16"/>
          <w:szCs w:val="16"/>
        </w:rPr>
      </w:pPr>
      <w:r w:rsidRPr="00C45236">
        <w:rPr>
          <w:rFonts w:ascii="Georgia" w:hAnsi="Georgia" w:cs="Arial"/>
          <w:sz w:val="16"/>
          <w:szCs w:val="16"/>
        </w:rPr>
        <w:t>Note</w:t>
      </w:r>
      <w:r w:rsidR="00C45236">
        <w:rPr>
          <w:rFonts w:ascii="Georgia" w:hAnsi="Georgia" w:cs="Arial"/>
          <w:sz w:val="16"/>
          <w:szCs w:val="16"/>
        </w:rPr>
        <w:t>*</w:t>
      </w:r>
      <w:r w:rsidRPr="00C45236">
        <w:rPr>
          <w:rFonts w:ascii="Georgia" w:hAnsi="Georgia" w:cs="Arial"/>
          <w:sz w:val="16"/>
          <w:szCs w:val="16"/>
        </w:rPr>
        <w:t xml:space="preserve">: </w:t>
      </w:r>
      <w:r w:rsidR="00E8313E">
        <w:rPr>
          <w:rFonts w:ascii="Georgia" w:hAnsi="Georgia" w:cs="Arial"/>
          <w:sz w:val="16"/>
          <w:szCs w:val="16"/>
        </w:rPr>
        <w:t xml:space="preserve">Midler afsat til partnerdag i 2023 er overført til budget 2024. </w:t>
      </w:r>
    </w:p>
    <w:sectPr w:rsidR="00106F54" w:rsidRPr="00C45236" w:rsidSect="00491415">
      <w:footerReference w:type="default" r:id="rId11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3B8A" w14:textId="77777777" w:rsidR="00280686" w:rsidRDefault="00280686" w:rsidP="00234CCA">
      <w:pPr>
        <w:spacing w:after="0" w:line="240" w:lineRule="auto"/>
      </w:pPr>
      <w:r>
        <w:separator/>
      </w:r>
    </w:p>
  </w:endnote>
  <w:endnote w:type="continuationSeparator" w:id="0">
    <w:p w14:paraId="3298BB29" w14:textId="77777777" w:rsidR="00280686" w:rsidRDefault="00280686" w:rsidP="00234CCA">
      <w:pPr>
        <w:spacing w:after="0" w:line="240" w:lineRule="auto"/>
      </w:pPr>
      <w:r>
        <w:continuationSeparator/>
      </w:r>
    </w:p>
  </w:endnote>
  <w:endnote w:type="continuationNotice" w:id="1">
    <w:p w14:paraId="4086FBF5" w14:textId="77777777" w:rsidR="00280686" w:rsidRDefault="002806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820639"/>
      <w:docPartObj>
        <w:docPartGallery w:val="Page Numbers (Bottom of Page)"/>
        <w:docPartUnique/>
      </w:docPartObj>
    </w:sdtPr>
    <w:sdtContent>
      <w:p w14:paraId="71B5A82E" w14:textId="2077CF84" w:rsidR="00095F19" w:rsidRDefault="00095F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84241" w14:textId="77777777" w:rsidR="00095F19" w:rsidRDefault="00095F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304C" w14:textId="77777777" w:rsidR="00280686" w:rsidRDefault="00280686" w:rsidP="00234CCA">
      <w:pPr>
        <w:spacing w:after="0" w:line="240" w:lineRule="auto"/>
      </w:pPr>
      <w:r>
        <w:separator/>
      </w:r>
    </w:p>
  </w:footnote>
  <w:footnote w:type="continuationSeparator" w:id="0">
    <w:p w14:paraId="4AAB3458" w14:textId="77777777" w:rsidR="00280686" w:rsidRDefault="00280686" w:rsidP="00234CCA">
      <w:pPr>
        <w:spacing w:after="0" w:line="240" w:lineRule="auto"/>
      </w:pPr>
      <w:r>
        <w:continuationSeparator/>
      </w:r>
    </w:p>
  </w:footnote>
  <w:footnote w:type="continuationNotice" w:id="1">
    <w:p w14:paraId="25986F6A" w14:textId="77777777" w:rsidR="00280686" w:rsidRDefault="00280686">
      <w:pPr>
        <w:spacing w:after="0" w:line="240" w:lineRule="auto"/>
      </w:pPr>
    </w:p>
  </w:footnote>
  <w:footnote w:id="2">
    <w:p w14:paraId="43AD4D2F" w14:textId="5EF0551B" w:rsidR="00B962EB" w:rsidRPr="004541F8" w:rsidRDefault="00B962EB">
      <w:pPr>
        <w:pStyle w:val="Fodnotetekst"/>
        <w:rPr>
          <w:rFonts w:ascii="Georgia" w:hAnsi="Georgia"/>
        </w:rPr>
      </w:pPr>
      <w:r w:rsidRPr="004541F8">
        <w:rPr>
          <w:rStyle w:val="Fodnotehenvisning"/>
          <w:rFonts w:ascii="Georgia" w:hAnsi="Georgia"/>
        </w:rPr>
        <w:footnoteRef/>
      </w:r>
      <w:r w:rsidRPr="004541F8">
        <w:rPr>
          <w:rFonts w:ascii="Georgia" w:hAnsi="Georgia"/>
        </w:rPr>
        <w:t xml:space="preserve"> </w:t>
      </w:r>
      <w:hyperlink r:id="rId1" w:history="1">
        <w:r w:rsidR="004541F8" w:rsidRPr="004541F8">
          <w:rPr>
            <w:rStyle w:val="Hyperlink"/>
            <w:rFonts w:ascii="Georgia" w:hAnsi="Georgia"/>
          </w:rPr>
          <w:t>https://oes.dk/oekonomi/finanslov-og-udgiftsopfoelgning/indeks/fastprisberegninger/</w:t>
        </w:r>
      </w:hyperlink>
    </w:p>
    <w:p w14:paraId="609EAC67" w14:textId="77777777" w:rsidR="004541F8" w:rsidRDefault="004541F8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BFE95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4F59"/>
    <w:multiLevelType w:val="hybridMultilevel"/>
    <w:tmpl w:val="BDD065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337"/>
    <w:multiLevelType w:val="hybridMultilevel"/>
    <w:tmpl w:val="F6745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6D99"/>
    <w:multiLevelType w:val="hybridMultilevel"/>
    <w:tmpl w:val="CBAC2EA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D5919"/>
    <w:multiLevelType w:val="hybridMultilevel"/>
    <w:tmpl w:val="4E80D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90194">
    <w:abstractNumId w:val="1"/>
  </w:num>
  <w:num w:numId="2" w16cid:durableId="2096591078">
    <w:abstractNumId w:val="2"/>
  </w:num>
  <w:num w:numId="3" w16cid:durableId="1805076260">
    <w:abstractNumId w:val="4"/>
  </w:num>
  <w:num w:numId="4" w16cid:durableId="1991013375">
    <w:abstractNumId w:val="0"/>
  </w:num>
  <w:num w:numId="5" w16cid:durableId="355885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E1"/>
    <w:rsid w:val="00002962"/>
    <w:rsid w:val="0000681E"/>
    <w:rsid w:val="000110A8"/>
    <w:rsid w:val="000135CB"/>
    <w:rsid w:val="00014B57"/>
    <w:rsid w:val="00014F1D"/>
    <w:rsid w:val="00016EE6"/>
    <w:rsid w:val="0002118E"/>
    <w:rsid w:val="00021DB4"/>
    <w:rsid w:val="00023760"/>
    <w:rsid w:val="000260FD"/>
    <w:rsid w:val="00033C39"/>
    <w:rsid w:val="000375C9"/>
    <w:rsid w:val="00040112"/>
    <w:rsid w:val="00040B0A"/>
    <w:rsid w:val="00041006"/>
    <w:rsid w:val="00043B28"/>
    <w:rsid w:val="0004628E"/>
    <w:rsid w:val="00050928"/>
    <w:rsid w:val="00053EC3"/>
    <w:rsid w:val="00054118"/>
    <w:rsid w:val="00054E8F"/>
    <w:rsid w:val="000578E7"/>
    <w:rsid w:val="000625E1"/>
    <w:rsid w:val="00062AAE"/>
    <w:rsid w:val="00070C65"/>
    <w:rsid w:val="000714C3"/>
    <w:rsid w:val="0007510F"/>
    <w:rsid w:val="0008093C"/>
    <w:rsid w:val="00080C0E"/>
    <w:rsid w:val="00083194"/>
    <w:rsid w:val="00083861"/>
    <w:rsid w:val="00085F5E"/>
    <w:rsid w:val="000876BB"/>
    <w:rsid w:val="00091FBF"/>
    <w:rsid w:val="00094114"/>
    <w:rsid w:val="00095F19"/>
    <w:rsid w:val="000A504C"/>
    <w:rsid w:val="000B0B97"/>
    <w:rsid w:val="000B4B2A"/>
    <w:rsid w:val="000B7CEE"/>
    <w:rsid w:val="000C1E77"/>
    <w:rsid w:val="000C314C"/>
    <w:rsid w:val="000C505D"/>
    <w:rsid w:val="000C6D2F"/>
    <w:rsid w:val="000C71AD"/>
    <w:rsid w:val="000D0085"/>
    <w:rsid w:val="000D43F8"/>
    <w:rsid w:val="000D45CA"/>
    <w:rsid w:val="000D6115"/>
    <w:rsid w:val="000E336E"/>
    <w:rsid w:val="000E4416"/>
    <w:rsid w:val="000E44FA"/>
    <w:rsid w:val="000E5821"/>
    <w:rsid w:val="000E6014"/>
    <w:rsid w:val="000F122E"/>
    <w:rsid w:val="000F15B2"/>
    <w:rsid w:val="000F5B99"/>
    <w:rsid w:val="000F643A"/>
    <w:rsid w:val="00105515"/>
    <w:rsid w:val="00106F54"/>
    <w:rsid w:val="00115C96"/>
    <w:rsid w:val="0011675E"/>
    <w:rsid w:val="001231D3"/>
    <w:rsid w:val="00123A25"/>
    <w:rsid w:val="00123D86"/>
    <w:rsid w:val="001244A2"/>
    <w:rsid w:val="001353DB"/>
    <w:rsid w:val="00135C99"/>
    <w:rsid w:val="0014054D"/>
    <w:rsid w:val="001414AE"/>
    <w:rsid w:val="0014343B"/>
    <w:rsid w:val="00143771"/>
    <w:rsid w:val="001441D7"/>
    <w:rsid w:val="0014730F"/>
    <w:rsid w:val="00150D18"/>
    <w:rsid w:val="00152B91"/>
    <w:rsid w:val="00152C5A"/>
    <w:rsid w:val="0015616B"/>
    <w:rsid w:val="00160C61"/>
    <w:rsid w:val="001615F3"/>
    <w:rsid w:val="00165A6F"/>
    <w:rsid w:val="00171A21"/>
    <w:rsid w:val="00172388"/>
    <w:rsid w:val="001764CD"/>
    <w:rsid w:val="00176E2D"/>
    <w:rsid w:val="00180D61"/>
    <w:rsid w:val="00181575"/>
    <w:rsid w:val="0018347B"/>
    <w:rsid w:val="00184171"/>
    <w:rsid w:val="00186F5D"/>
    <w:rsid w:val="00187735"/>
    <w:rsid w:val="0019140D"/>
    <w:rsid w:val="00192DDC"/>
    <w:rsid w:val="001950A1"/>
    <w:rsid w:val="001954D3"/>
    <w:rsid w:val="0019557D"/>
    <w:rsid w:val="00196ED6"/>
    <w:rsid w:val="001A47A8"/>
    <w:rsid w:val="001A500C"/>
    <w:rsid w:val="001A5880"/>
    <w:rsid w:val="001A7D42"/>
    <w:rsid w:val="001B1620"/>
    <w:rsid w:val="001B1EC8"/>
    <w:rsid w:val="001C2F2C"/>
    <w:rsid w:val="001C3524"/>
    <w:rsid w:val="001C5FDE"/>
    <w:rsid w:val="001C6E9D"/>
    <w:rsid w:val="001C70CB"/>
    <w:rsid w:val="001C7E01"/>
    <w:rsid w:val="001D68F7"/>
    <w:rsid w:val="001E1469"/>
    <w:rsid w:val="001E1F07"/>
    <w:rsid w:val="001E331F"/>
    <w:rsid w:val="001E5A14"/>
    <w:rsid w:val="001E604A"/>
    <w:rsid w:val="001F152A"/>
    <w:rsid w:val="001F1FB3"/>
    <w:rsid w:val="001F27B6"/>
    <w:rsid w:val="001F3A8D"/>
    <w:rsid w:val="001F5379"/>
    <w:rsid w:val="001F63F7"/>
    <w:rsid w:val="00203998"/>
    <w:rsid w:val="00204CFC"/>
    <w:rsid w:val="00210A7E"/>
    <w:rsid w:val="00214EFE"/>
    <w:rsid w:val="00215860"/>
    <w:rsid w:val="00216B1D"/>
    <w:rsid w:val="002209D7"/>
    <w:rsid w:val="00221C53"/>
    <w:rsid w:val="00221CE3"/>
    <w:rsid w:val="002241B5"/>
    <w:rsid w:val="00225477"/>
    <w:rsid w:val="00225993"/>
    <w:rsid w:val="00227FA3"/>
    <w:rsid w:val="002325FA"/>
    <w:rsid w:val="00233C2F"/>
    <w:rsid w:val="00234CCA"/>
    <w:rsid w:val="00236075"/>
    <w:rsid w:val="002410D7"/>
    <w:rsid w:val="00241788"/>
    <w:rsid w:val="0024287F"/>
    <w:rsid w:val="002459EA"/>
    <w:rsid w:val="00246043"/>
    <w:rsid w:val="002462AA"/>
    <w:rsid w:val="00246494"/>
    <w:rsid w:val="00251164"/>
    <w:rsid w:val="00252D6F"/>
    <w:rsid w:val="00255D64"/>
    <w:rsid w:val="0025616F"/>
    <w:rsid w:val="00256E40"/>
    <w:rsid w:val="00263C06"/>
    <w:rsid w:val="00280686"/>
    <w:rsid w:val="00280EA3"/>
    <w:rsid w:val="0028168A"/>
    <w:rsid w:val="00283637"/>
    <w:rsid w:val="002849E9"/>
    <w:rsid w:val="00285035"/>
    <w:rsid w:val="00292D9E"/>
    <w:rsid w:val="00293CEC"/>
    <w:rsid w:val="00297175"/>
    <w:rsid w:val="002A1F54"/>
    <w:rsid w:val="002A3E5B"/>
    <w:rsid w:val="002A4D78"/>
    <w:rsid w:val="002B1E02"/>
    <w:rsid w:val="002B2B33"/>
    <w:rsid w:val="002C415C"/>
    <w:rsid w:val="002C50F9"/>
    <w:rsid w:val="002D2A6F"/>
    <w:rsid w:val="002E377E"/>
    <w:rsid w:val="002E6ACE"/>
    <w:rsid w:val="002F29CF"/>
    <w:rsid w:val="002F47EF"/>
    <w:rsid w:val="002F67C3"/>
    <w:rsid w:val="00302EC4"/>
    <w:rsid w:val="00304C05"/>
    <w:rsid w:val="00304F5E"/>
    <w:rsid w:val="003077D8"/>
    <w:rsid w:val="00311149"/>
    <w:rsid w:val="0031231E"/>
    <w:rsid w:val="0032269A"/>
    <w:rsid w:val="00325FC0"/>
    <w:rsid w:val="00326204"/>
    <w:rsid w:val="00326988"/>
    <w:rsid w:val="00331393"/>
    <w:rsid w:val="00335189"/>
    <w:rsid w:val="00335874"/>
    <w:rsid w:val="0035240B"/>
    <w:rsid w:val="0035363B"/>
    <w:rsid w:val="00353CB2"/>
    <w:rsid w:val="0036065B"/>
    <w:rsid w:val="00366F1C"/>
    <w:rsid w:val="003714FD"/>
    <w:rsid w:val="00371729"/>
    <w:rsid w:val="003727F8"/>
    <w:rsid w:val="003759FE"/>
    <w:rsid w:val="00376D6D"/>
    <w:rsid w:val="00386241"/>
    <w:rsid w:val="00397082"/>
    <w:rsid w:val="003979CA"/>
    <w:rsid w:val="003A2158"/>
    <w:rsid w:val="003A34E8"/>
    <w:rsid w:val="003A3798"/>
    <w:rsid w:val="003A3A98"/>
    <w:rsid w:val="003A3AD7"/>
    <w:rsid w:val="003A48B9"/>
    <w:rsid w:val="003B202B"/>
    <w:rsid w:val="003C4403"/>
    <w:rsid w:val="003C7DEB"/>
    <w:rsid w:val="003D0AA3"/>
    <w:rsid w:val="003D17C2"/>
    <w:rsid w:val="003F05EA"/>
    <w:rsid w:val="003F716B"/>
    <w:rsid w:val="003F7EF3"/>
    <w:rsid w:val="00404F95"/>
    <w:rsid w:val="00405734"/>
    <w:rsid w:val="00417F21"/>
    <w:rsid w:val="00425D35"/>
    <w:rsid w:val="00432DC9"/>
    <w:rsid w:val="00433743"/>
    <w:rsid w:val="004348EB"/>
    <w:rsid w:val="00435A4A"/>
    <w:rsid w:val="00436606"/>
    <w:rsid w:val="004401B4"/>
    <w:rsid w:val="004411DE"/>
    <w:rsid w:val="004417CE"/>
    <w:rsid w:val="00445C97"/>
    <w:rsid w:val="004469B2"/>
    <w:rsid w:val="00447562"/>
    <w:rsid w:val="004541F8"/>
    <w:rsid w:val="004549F8"/>
    <w:rsid w:val="004605F5"/>
    <w:rsid w:val="00464B73"/>
    <w:rsid w:val="00467762"/>
    <w:rsid w:val="004744B2"/>
    <w:rsid w:val="0047770D"/>
    <w:rsid w:val="0048171D"/>
    <w:rsid w:val="00484FC6"/>
    <w:rsid w:val="0048744C"/>
    <w:rsid w:val="00491415"/>
    <w:rsid w:val="0049505F"/>
    <w:rsid w:val="004A1D0B"/>
    <w:rsid w:val="004A33F1"/>
    <w:rsid w:val="004A4F0C"/>
    <w:rsid w:val="004A5067"/>
    <w:rsid w:val="004A69ED"/>
    <w:rsid w:val="004A7811"/>
    <w:rsid w:val="004B239D"/>
    <w:rsid w:val="004B32F9"/>
    <w:rsid w:val="004B36E5"/>
    <w:rsid w:val="004B4A3B"/>
    <w:rsid w:val="004C0AF0"/>
    <w:rsid w:val="004C3582"/>
    <w:rsid w:val="004C5AD3"/>
    <w:rsid w:val="004C614B"/>
    <w:rsid w:val="004D3F9D"/>
    <w:rsid w:val="004D458E"/>
    <w:rsid w:val="004D632D"/>
    <w:rsid w:val="004D7B05"/>
    <w:rsid w:val="004E75F3"/>
    <w:rsid w:val="004F07D7"/>
    <w:rsid w:val="004F13B0"/>
    <w:rsid w:val="004F4A7C"/>
    <w:rsid w:val="004F4B86"/>
    <w:rsid w:val="00501ECB"/>
    <w:rsid w:val="00501F2D"/>
    <w:rsid w:val="005061ED"/>
    <w:rsid w:val="00507802"/>
    <w:rsid w:val="005102D2"/>
    <w:rsid w:val="00522065"/>
    <w:rsid w:val="00523227"/>
    <w:rsid w:val="00523915"/>
    <w:rsid w:val="00523F98"/>
    <w:rsid w:val="00524A2A"/>
    <w:rsid w:val="0052536B"/>
    <w:rsid w:val="0053624E"/>
    <w:rsid w:val="00536351"/>
    <w:rsid w:val="00536508"/>
    <w:rsid w:val="005414FE"/>
    <w:rsid w:val="005453E1"/>
    <w:rsid w:val="005458FC"/>
    <w:rsid w:val="00552E56"/>
    <w:rsid w:val="00554477"/>
    <w:rsid w:val="00560228"/>
    <w:rsid w:val="00560D68"/>
    <w:rsid w:val="0056239A"/>
    <w:rsid w:val="005764EE"/>
    <w:rsid w:val="00580EC8"/>
    <w:rsid w:val="00586E7C"/>
    <w:rsid w:val="005874D7"/>
    <w:rsid w:val="00587DF0"/>
    <w:rsid w:val="00590AC4"/>
    <w:rsid w:val="00593FC6"/>
    <w:rsid w:val="005977DD"/>
    <w:rsid w:val="00597C02"/>
    <w:rsid w:val="005A01D8"/>
    <w:rsid w:val="005A0550"/>
    <w:rsid w:val="005A1E68"/>
    <w:rsid w:val="005A3327"/>
    <w:rsid w:val="005A5FD4"/>
    <w:rsid w:val="005B0136"/>
    <w:rsid w:val="005B2035"/>
    <w:rsid w:val="005B4B79"/>
    <w:rsid w:val="005B5425"/>
    <w:rsid w:val="005B68A5"/>
    <w:rsid w:val="005C39CE"/>
    <w:rsid w:val="005D3AB5"/>
    <w:rsid w:val="005E4E10"/>
    <w:rsid w:val="005E7A96"/>
    <w:rsid w:val="005F1584"/>
    <w:rsid w:val="005F4319"/>
    <w:rsid w:val="00601390"/>
    <w:rsid w:val="00610356"/>
    <w:rsid w:val="00610E9B"/>
    <w:rsid w:val="0061394A"/>
    <w:rsid w:val="00615D20"/>
    <w:rsid w:val="00616CC8"/>
    <w:rsid w:val="00617A89"/>
    <w:rsid w:val="00622B6A"/>
    <w:rsid w:val="00626385"/>
    <w:rsid w:val="00626B69"/>
    <w:rsid w:val="006278F9"/>
    <w:rsid w:val="0063208F"/>
    <w:rsid w:val="00632994"/>
    <w:rsid w:val="00632EED"/>
    <w:rsid w:val="00633522"/>
    <w:rsid w:val="00633744"/>
    <w:rsid w:val="0063553F"/>
    <w:rsid w:val="00635619"/>
    <w:rsid w:val="00636CFD"/>
    <w:rsid w:val="00640021"/>
    <w:rsid w:val="0064159D"/>
    <w:rsid w:val="00644426"/>
    <w:rsid w:val="00645955"/>
    <w:rsid w:val="00650123"/>
    <w:rsid w:val="00651DCC"/>
    <w:rsid w:val="0065281D"/>
    <w:rsid w:val="00653701"/>
    <w:rsid w:val="00653CAE"/>
    <w:rsid w:val="0065493F"/>
    <w:rsid w:val="006650CB"/>
    <w:rsid w:val="0066663F"/>
    <w:rsid w:val="00667F01"/>
    <w:rsid w:val="00671BA5"/>
    <w:rsid w:val="00672D3B"/>
    <w:rsid w:val="00674821"/>
    <w:rsid w:val="00676AC4"/>
    <w:rsid w:val="00677025"/>
    <w:rsid w:val="00680AFB"/>
    <w:rsid w:val="006814B6"/>
    <w:rsid w:val="006827C5"/>
    <w:rsid w:val="00686724"/>
    <w:rsid w:val="00690809"/>
    <w:rsid w:val="0069278D"/>
    <w:rsid w:val="006937D1"/>
    <w:rsid w:val="006A01F3"/>
    <w:rsid w:val="006A1803"/>
    <w:rsid w:val="006A3C2A"/>
    <w:rsid w:val="006A6785"/>
    <w:rsid w:val="006B0910"/>
    <w:rsid w:val="006B4133"/>
    <w:rsid w:val="006B64A1"/>
    <w:rsid w:val="006C5EB5"/>
    <w:rsid w:val="006C6CB5"/>
    <w:rsid w:val="006D0601"/>
    <w:rsid w:val="006D0EFB"/>
    <w:rsid w:val="006D108E"/>
    <w:rsid w:val="006D2371"/>
    <w:rsid w:val="006E0D5E"/>
    <w:rsid w:val="006E4543"/>
    <w:rsid w:val="006F2678"/>
    <w:rsid w:val="006F2C8D"/>
    <w:rsid w:val="006F3023"/>
    <w:rsid w:val="006F79C0"/>
    <w:rsid w:val="00700FC1"/>
    <w:rsid w:val="007043CC"/>
    <w:rsid w:val="007137BF"/>
    <w:rsid w:val="00715B67"/>
    <w:rsid w:val="007210F8"/>
    <w:rsid w:val="00721672"/>
    <w:rsid w:val="00727E13"/>
    <w:rsid w:val="0073656E"/>
    <w:rsid w:val="0074073F"/>
    <w:rsid w:val="00743DFC"/>
    <w:rsid w:val="0075135F"/>
    <w:rsid w:val="00751B14"/>
    <w:rsid w:val="00751E42"/>
    <w:rsid w:val="00752AA8"/>
    <w:rsid w:val="00756ECE"/>
    <w:rsid w:val="007572C6"/>
    <w:rsid w:val="007574A6"/>
    <w:rsid w:val="00757584"/>
    <w:rsid w:val="00757BA4"/>
    <w:rsid w:val="0076070D"/>
    <w:rsid w:val="007648B5"/>
    <w:rsid w:val="00766265"/>
    <w:rsid w:val="0076715B"/>
    <w:rsid w:val="007752A7"/>
    <w:rsid w:val="0077707C"/>
    <w:rsid w:val="00777D0D"/>
    <w:rsid w:val="00780D43"/>
    <w:rsid w:val="00787486"/>
    <w:rsid w:val="00790586"/>
    <w:rsid w:val="00791844"/>
    <w:rsid w:val="00793117"/>
    <w:rsid w:val="00794FEE"/>
    <w:rsid w:val="007A2F52"/>
    <w:rsid w:val="007A4268"/>
    <w:rsid w:val="007A5495"/>
    <w:rsid w:val="007A6405"/>
    <w:rsid w:val="007B24EA"/>
    <w:rsid w:val="007B5624"/>
    <w:rsid w:val="007B7D55"/>
    <w:rsid w:val="007C249F"/>
    <w:rsid w:val="007C2578"/>
    <w:rsid w:val="007C3B68"/>
    <w:rsid w:val="007C3F72"/>
    <w:rsid w:val="007E042B"/>
    <w:rsid w:val="007E272F"/>
    <w:rsid w:val="007E2730"/>
    <w:rsid w:val="007E3848"/>
    <w:rsid w:val="007E49E3"/>
    <w:rsid w:val="007E536A"/>
    <w:rsid w:val="007F1986"/>
    <w:rsid w:val="007F4E43"/>
    <w:rsid w:val="007F4F65"/>
    <w:rsid w:val="00803AD7"/>
    <w:rsid w:val="00804F5A"/>
    <w:rsid w:val="00810E16"/>
    <w:rsid w:val="00811A81"/>
    <w:rsid w:val="00817295"/>
    <w:rsid w:val="00822180"/>
    <w:rsid w:val="008265B2"/>
    <w:rsid w:val="008269E5"/>
    <w:rsid w:val="00830B4D"/>
    <w:rsid w:val="00831160"/>
    <w:rsid w:val="008336E0"/>
    <w:rsid w:val="00833F1A"/>
    <w:rsid w:val="00835E48"/>
    <w:rsid w:val="00836D52"/>
    <w:rsid w:val="00837A4E"/>
    <w:rsid w:val="008415AF"/>
    <w:rsid w:val="00845DA0"/>
    <w:rsid w:val="00847440"/>
    <w:rsid w:val="0084764F"/>
    <w:rsid w:val="008477BB"/>
    <w:rsid w:val="00850BF8"/>
    <w:rsid w:val="008529F0"/>
    <w:rsid w:val="00854396"/>
    <w:rsid w:val="008552CE"/>
    <w:rsid w:val="008566AF"/>
    <w:rsid w:val="008569EF"/>
    <w:rsid w:val="00865ED7"/>
    <w:rsid w:val="00872B69"/>
    <w:rsid w:val="00873E96"/>
    <w:rsid w:val="00874E03"/>
    <w:rsid w:val="0088002E"/>
    <w:rsid w:val="00882987"/>
    <w:rsid w:val="00885887"/>
    <w:rsid w:val="0088652E"/>
    <w:rsid w:val="00886B8E"/>
    <w:rsid w:val="0088756E"/>
    <w:rsid w:val="00893695"/>
    <w:rsid w:val="008949A6"/>
    <w:rsid w:val="00894C1B"/>
    <w:rsid w:val="00895822"/>
    <w:rsid w:val="00895D1F"/>
    <w:rsid w:val="008A12B5"/>
    <w:rsid w:val="008A23E2"/>
    <w:rsid w:val="008A3594"/>
    <w:rsid w:val="008A5D1B"/>
    <w:rsid w:val="008A70ED"/>
    <w:rsid w:val="008B05A1"/>
    <w:rsid w:val="008B1B87"/>
    <w:rsid w:val="008B3C99"/>
    <w:rsid w:val="008B5406"/>
    <w:rsid w:val="008B69A2"/>
    <w:rsid w:val="008C1691"/>
    <w:rsid w:val="008C2AC8"/>
    <w:rsid w:val="008C3061"/>
    <w:rsid w:val="008C60C0"/>
    <w:rsid w:val="008C7412"/>
    <w:rsid w:val="008D1EB5"/>
    <w:rsid w:val="008D3995"/>
    <w:rsid w:val="008D4102"/>
    <w:rsid w:val="008E03AF"/>
    <w:rsid w:val="008E4D97"/>
    <w:rsid w:val="008E7E5E"/>
    <w:rsid w:val="008F573B"/>
    <w:rsid w:val="0090032C"/>
    <w:rsid w:val="0090381A"/>
    <w:rsid w:val="0090495E"/>
    <w:rsid w:val="009051AA"/>
    <w:rsid w:val="009054E3"/>
    <w:rsid w:val="0090617E"/>
    <w:rsid w:val="009062C9"/>
    <w:rsid w:val="00907BEA"/>
    <w:rsid w:val="00911B32"/>
    <w:rsid w:val="009140B2"/>
    <w:rsid w:val="00923EC5"/>
    <w:rsid w:val="00927EF0"/>
    <w:rsid w:val="00931D9B"/>
    <w:rsid w:val="009336D9"/>
    <w:rsid w:val="00934051"/>
    <w:rsid w:val="00942EEC"/>
    <w:rsid w:val="009460F4"/>
    <w:rsid w:val="0094635E"/>
    <w:rsid w:val="00952587"/>
    <w:rsid w:val="00952CB7"/>
    <w:rsid w:val="00954DB4"/>
    <w:rsid w:val="0095647B"/>
    <w:rsid w:val="0096332B"/>
    <w:rsid w:val="0096706E"/>
    <w:rsid w:val="0097247D"/>
    <w:rsid w:val="0097429C"/>
    <w:rsid w:val="009778B2"/>
    <w:rsid w:val="00980235"/>
    <w:rsid w:val="0098106B"/>
    <w:rsid w:val="00982331"/>
    <w:rsid w:val="00985F73"/>
    <w:rsid w:val="0099001F"/>
    <w:rsid w:val="00991543"/>
    <w:rsid w:val="00992F7F"/>
    <w:rsid w:val="009948A3"/>
    <w:rsid w:val="009957DF"/>
    <w:rsid w:val="00997E2B"/>
    <w:rsid w:val="009B05D1"/>
    <w:rsid w:val="009B1BB9"/>
    <w:rsid w:val="009B21E7"/>
    <w:rsid w:val="009B412B"/>
    <w:rsid w:val="009B50EF"/>
    <w:rsid w:val="009C1D20"/>
    <w:rsid w:val="009C680B"/>
    <w:rsid w:val="009D7022"/>
    <w:rsid w:val="009D79AA"/>
    <w:rsid w:val="009E1586"/>
    <w:rsid w:val="009F02F3"/>
    <w:rsid w:val="009F15F3"/>
    <w:rsid w:val="009F4525"/>
    <w:rsid w:val="009F7A32"/>
    <w:rsid w:val="009F7BF7"/>
    <w:rsid w:val="00A01AAC"/>
    <w:rsid w:val="00A02122"/>
    <w:rsid w:val="00A07F8F"/>
    <w:rsid w:val="00A10F0B"/>
    <w:rsid w:val="00A11098"/>
    <w:rsid w:val="00A11589"/>
    <w:rsid w:val="00A14B16"/>
    <w:rsid w:val="00A152B6"/>
    <w:rsid w:val="00A20856"/>
    <w:rsid w:val="00A20998"/>
    <w:rsid w:val="00A23870"/>
    <w:rsid w:val="00A27A9A"/>
    <w:rsid w:val="00A3350A"/>
    <w:rsid w:val="00A33B4D"/>
    <w:rsid w:val="00A34650"/>
    <w:rsid w:val="00A35E97"/>
    <w:rsid w:val="00A35EF9"/>
    <w:rsid w:val="00A414A8"/>
    <w:rsid w:val="00A437F4"/>
    <w:rsid w:val="00A44B09"/>
    <w:rsid w:val="00A461EF"/>
    <w:rsid w:val="00A46E9E"/>
    <w:rsid w:val="00A50F2B"/>
    <w:rsid w:val="00A532D7"/>
    <w:rsid w:val="00A5543A"/>
    <w:rsid w:val="00A5742C"/>
    <w:rsid w:val="00A57F37"/>
    <w:rsid w:val="00A6135B"/>
    <w:rsid w:val="00A62197"/>
    <w:rsid w:val="00A624B3"/>
    <w:rsid w:val="00A65642"/>
    <w:rsid w:val="00A67D10"/>
    <w:rsid w:val="00A67DFE"/>
    <w:rsid w:val="00A736D2"/>
    <w:rsid w:val="00A73CB4"/>
    <w:rsid w:val="00A740A9"/>
    <w:rsid w:val="00A74446"/>
    <w:rsid w:val="00A76A67"/>
    <w:rsid w:val="00A81045"/>
    <w:rsid w:val="00A8148D"/>
    <w:rsid w:val="00A8300F"/>
    <w:rsid w:val="00A838F3"/>
    <w:rsid w:val="00A85F8C"/>
    <w:rsid w:val="00A86110"/>
    <w:rsid w:val="00A861F3"/>
    <w:rsid w:val="00A86728"/>
    <w:rsid w:val="00A90F7D"/>
    <w:rsid w:val="00A9556C"/>
    <w:rsid w:val="00A95806"/>
    <w:rsid w:val="00AA2AC9"/>
    <w:rsid w:val="00AA564D"/>
    <w:rsid w:val="00AB1A62"/>
    <w:rsid w:val="00AB4A81"/>
    <w:rsid w:val="00AC47CF"/>
    <w:rsid w:val="00AC4E8F"/>
    <w:rsid w:val="00AC75C2"/>
    <w:rsid w:val="00AD0275"/>
    <w:rsid w:val="00AD035D"/>
    <w:rsid w:val="00AD0399"/>
    <w:rsid w:val="00AD35FB"/>
    <w:rsid w:val="00AD4D78"/>
    <w:rsid w:val="00AE0659"/>
    <w:rsid w:val="00AE1489"/>
    <w:rsid w:val="00AE3897"/>
    <w:rsid w:val="00AE5D27"/>
    <w:rsid w:val="00AE7605"/>
    <w:rsid w:val="00AF28BF"/>
    <w:rsid w:val="00AF3B68"/>
    <w:rsid w:val="00AF57FE"/>
    <w:rsid w:val="00AF6298"/>
    <w:rsid w:val="00AF7B48"/>
    <w:rsid w:val="00B05757"/>
    <w:rsid w:val="00B13043"/>
    <w:rsid w:val="00B1470F"/>
    <w:rsid w:val="00B1524A"/>
    <w:rsid w:val="00B1596F"/>
    <w:rsid w:val="00B173E5"/>
    <w:rsid w:val="00B20B03"/>
    <w:rsid w:val="00B2456A"/>
    <w:rsid w:val="00B25385"/>
    <w:rsid w:val="00B27DE0"/>
    <w:rsid w:val="00B27F3D"/>
    <w:rsid w:val="00B41A9F"/>
    <w:rsid w:val="00B43C95"/>
    <w:rsid w:val="00B53897"/>
    <w:rsid w:val="00B57E88"/>
    <w:rsid w:val="00B71A17"/>
    <w:rsid w:val="00B71F64"/>
    <w:rsid w:val="00B75037"/>
    <w:rsid w:val="00B751B9"/>
    <w:rsid w:val="00B80A40"/>
    <w:rsid w:val="00B83D30"/>
    <w:rsid w:val="00B92FD0"/>
    <w:rsid w:val="00B94085"/>
    <w:rsid w:val="00B962EB"/>
    <w:rsid w:val="00B96662"/>
    <w:rsid w:val="00BA0633"/>
    <w:rsid w:val="00BA1D5D"/>
    <w:rsid w:val="00BA3013"/>
    <w:rsid w:val="00BA39BC"/>
    <w:rsid w:val="00BA3AB3"/>
    <w:rsid w:val="00BA5C93"/>
    <w:rsid w:val="00BB0B80"/>
    <w:rsid w:val="00BB0D7F"/>
    <w:rsid w:val="00BB1937"/>
    <w:rsid w:val="00BB2AE4"/>
    <w:rsid w:val="00BB5C56"/>
    <w:rsid w:val="00BB6841"/>
    <w:rsid w:val="00BB71D7"/>
    <w:rsid w:val="00BB7377"/>
    <w:rsid w:val="00BC012D"/>
    <w:rsid w:val="00BC30A4"/>
    <w:rsid w:val="00BC5FC4"/>
    <w:rsid w:val="00BC65BA"/>
    <w:rsid w:val="00BD345C"/>
    <w:rsid w:val="00BD3B7D"/>
    <w:rsid w:val="00BF027C"/>
    <w:rsid w:val="00BF4DFC"/>
    <w:rsid w:val="00BF519E"/>
    <w:rsid w:val="00BF5FEC"/>
    <w:rsid w:val="00C012CA"/>
    <w:rsid w:val="00C12710"/>
    <w:rsid w:val="00C1293D"/>
    <w:rsid w:val="00C13EB2"/>
    <w:rsid w:val="00C1588F"/>
    <w:rsid w:val="00C1725C"/>
    <w:rsid w:val="00C1753E"/>
    <w:rsid w:val="00C2549E"/>
    <w:rsid w:val="00C26634"/>
    <w:rsid w:val="00C306DB"/>
    <w:rsid w:val="00C3273D"/>
    <w:rsid w:val="00C335AB"/>
    <w:rsid w:val="00C35CFB"/>
    <w:rsid w:val="00C36EF1"/>
    <w:rsid w:val="00C3751A"/>
    <w:rsid w:val="00C450E2"/>
    <w:rsid w:val="00C45236"/>
    <w:rsid w:val="00C51243"/>
    <w:rsid w:val="00C5185B"/>
    <w:rsid w:val="00C54308"/>
    <w:rsid w:val="00C5561F"/>
    <w:rsid w:val="00C60321"/>
    <w:rsid w:val="00C62560"/>
    <w:rsid w:val="00C630F8"/>
    <w:rsid w:val="00C6310A"/>
    <w:rsid w:val="00C6354E"/>
    <w:rsid w:val="00C643AF"/>
    <w:rsid w:val="00C65D46"/>
    <w:rsid w:val="00C6650F"/>
    <w:rsid w:val="00C75BF2"/>
    <w:rsid w:val="00C7619D"/>
    <w:rsid w:val="00C761CF"/>
    <w:rsid w:val="00C76FD0"/>
    <w:rsid w:val="00C77BAC"/>
    <w:rsid w:val="00C867D1"/>
    <w:rsid w:val="00C93AFE"/>
    <w:rsid w:val="00C949A1"/>
    <w:rsid w:val="00CA05D0"/>
    <w:rsid w:val="00CA05D1"/>
    <w:rsid w:val="00CA0D0B"/>
    <w:rsid w:val="00CA273B"/>
    <w:rsid w:val="00CA3063"/>
    <w:rsid w:val="00CA40E1"/>
    <w:rsid w:val="00CB0AC0"/>
    <w:rsid w:val="00CB5118"/>
    <w:rsid w:val="00CC18CA"/>
    <w:rsid w:val="00CC3B3B"/>
    <w:rsid w:val="00CD0A28"/>
    <w:rsid w:val="00CD0F94"/>
    <w:rsid w:val="00CD7115"/>
    <w:rsid w:val="00CE30AA"/>
    <w:rsid w:val="00CE4A01"/>
    <w:rsid w:val="00CE4C58"/>
    <w:rsid w:val="00CE6630"/>
    <w:rsid w:val="00CF0111"/>
    <w:rsid w:val="00CF168D"/>
    <w:rsid w:val="00CF643D"/>
    <w:rsid w:val="00CF682D"/>
    <w:rsid w:val="00CF7841"/>
    <w:rsid w:val="00D04E17"/>
    <w:rsid w:val="00D05BB3"/>
    <w:rsid w:val="00D12F30"/>
    <w:rsid w:val="00D141C1"/>
    <w:rsid w:val="00D15566"/>
    <w:rsid w:val="00D1745A"/>
    <w:rsid w:val="00D20173"/>
    <w:rsid w:val="00D254CC"/>
    <w:rsid w:val="00D25A8F"/>
    <w:rsid w:val="00D303FC"/>
    <w:rsid w:val="00D336FD"/>
    <w:rsid w:val="00D4249E"/>
    <w:rsid w:val="00D42C1D"/>
    <w:rsid w:val="00D43878"/>
    <w:rsid w:val="00D50B4F"/>
    <w:rsid w:val="00D5404D"/>
    <w:rsid w:val="00D6104A"/>
    <w:rsid w:val="00D63BF1"/>
    <w:rsid w:val="00D64647"/>
    <w:rsid w:val="00D6689B"/>
    <w:rsid w:val="00D71A0C"/>
    <w:rsid w:val="00D75D0A"/>
    <w:rsid w:val="00D849F5"/>
    <w:rsid w:val="00D84B14"/>
    <w:rsid w:val="00D8678E"/>
    <w:rsid w:val="00D8706C"/>
    <w:rsid w:val="00D90AC6"/>
    <w:rsid w:val="00D91E38"/>
    <w:rsid w:val="00D9240E"/>
    <w:rsid w:val="00D939FB"/>
    <w:rsid w:val="00D95513"/>
    <w:rsid w:val="00D96712"/>
    <w:rsid w:val="00D9754F"/>
    <w:rsid w:val="00D9796E"/>
    <w:rsid w:val="00D97EDA"/>
    <w:rsid w:val="00DA07AE"/>
    <w:rsid w:val="00DA3009"/>
    <w:rsid w:val="00DA3EDF"/>
    <w:rsid w:val="00DA53F1"/>
    <w:rsid w:val="00DA5E4A"/>
    <w:rsid w:val="00DA666B"/>
    <w:rsid w:val="00DB106E"/>
    <w:rsid w:val="00DB3819"/>
    <w:rsid w:val="00DB6FE0"/>
    <w:rsid w:val="00DC3990"/>
    <w:rsid w:val="00DC3F46"/>
    <w:rsid w:val="00DC5D78"/>
    <w:rsid w:val="00DC71DD"/>
    <w:rsid w:val="00DD030A"/>
    <w:rsid w:val="00DD0B15"/>
    <w:rsid w:val="00DD2470"/>
    <w:rsid w:val="00DD2E65"/>
    <w:rsid w:val="00DD4642"/>
    <w:rsid w:val="00DD5C58"/>
    <w:rsid w:val="00DD70AD"/>
    <w:rsid w:val="00DE1134"/>
    <w:rsid w:val="00DE593E"/>
    <w:rsid w:val="00DE5A36"/>
    <w:rsid w:val="00DF46E0"/>
    <w:rsid w:val="00DF5C68"/>
    <w:rsid w:val="00E01624"/>
    <w:rsid w:val="00E02FB0"/>
    <w:rsid w:val="00E07CEC"/>
    <w:rsid w:val="00E13550"/>
    <w:rsid w:val="00E140AD"/>
    <w:rsid w:val="00E14E7D"/>
    <w:rsid w:val="00E1526F"/>
    <w:rsid w:val="00E1596C"/>
    <w:rsid w:val="00E17C97"/>
    <w:rsid w:val="00E201D5"/>
    <w:rsid w:val="00E24085"/>
    <w:rsid w:val="00E26905"/>
    <w:rsid w:val="00E27AF4"/>
    <w:rsid w:val="00E30602"/>
    <w:rsid w:val="00E33C37"/>
    <w:rsid w:val="00E340A1"/>
    <w:rsid w:val="00E34262"/>
    <w:rsid w:val="00E429D0"/>
    <w:rsid w:val="00E42E3D"/>
    <w:rsid w:val="00E45E20"/>
    <w:rsid w:val="00E57CE1"/>
    <w:rsid w:val="00E61091"/>
    <w:rsid w:val="00E61A77"/>
    <w:rsid w:val="00E63432"/>
    <w:rsid w:val="00E654C3"/>
    <w:rsid w:val="00E728CD"/>
    <w:rsid w:val="00E739B5"/>
    <w:rsid w:val="00E757E6"/>
    <w:rsid w:val="00E759D5"/>
    <w:rsid w:val="00E7634F"/>
    <w:rsid w:val="00E801FA"/>
    <w:rsid w:val="00E8088F"/>
    <w:rsid w:val="00E819DE"/>
    <w:rsid w:val="00E81E3F"/>
    <w:rsid w:val="00E82BAE"/>
    <w:rsid w:val="00E83014"/>
    <w:rsid w:val="00E8313E"/>
    <w:rsid w:val="00E8663A"/>
    <w:rsid w:val="00E9030E"/>
    <w:rsid w:val="00E91B05"/>
    <w:rsid w:val="00E91DC0"/>
    <w:rsid w:val="00E95054"/>
    <w:rsid w:val="00E96282"/>
    <w:rsid w:val="00EA4D1E"/>
    <w:rsid w:val="00EA6F8A"/>
    <w:rsid w:val="00EB5F0D"/>
    <w:rsid w:val="00EC3579"/>
    <w:rsid w:val="00ED10B6"/>
    <w:rsid w:val="00ED25A8"/>
    <w:rsid w:val="00ED4FA9"/>
    <w:rsid w:val="00ED7415"/>
    <w:rsid w:val="00EE537E"/>
    <w:rsid w:val="00EF2214"/>
    <w:rsid w:val="00EF4541"/>
    <w:rsid w:val="00EF7093"/>
    <w:rsid w:val="00F005B9"/>
    <w:rsid w:val="00F0379E"/>
    <w:rsid w:val="00F10BEB"/>
    <w:rsid w:val="00F148F3"/>
    <w:rsid w:val="00F154CD"/>
    <w:rsid w:val="00F16823"/>
    <w:rsid w:val="00F20FCD"/>
    <w:rsid w:val="00F22001"/>
    <w:rsid w:val="00F247B0"/>
    <w:rsid w:val="00F258F1"/>
    <w:rsid w:val="00F27FF5"/>
    <w:rsid w:val="00F32C55"/>
    <w:rsid w:val="00F34D17"/>
    <w:rsid w:val="00F351D5"/>
    <w:rsid w:val="00F44525"/>
    <w:rsid w:val="00F45F39"/>
    <w:rsid w:val="00F469FE"/>
    <w:rsid w:val="00F5527A"/>
    <w:rsid w:val="00F56674"/>
    <w:rsid w:val="00F603D8"/>
    <w:rsid w:val="00F62336"/>
    <w:rsid w:val="00F62CB5"/>
    <w:rsid w:val="00F62FF3"/>
    <w:rsid w:val="00F632CF"/>
    <w:rsid w:val="00F6593B"/>
    <w:rsid w:val="00F662A0"/>
    <w:rsid w:val="00F66FD3"/>
    <w:rsid w:val="00F71A4E"/>
    <w:rsid w:val="00F72259"/>
    <w:rsid w:val="00F74233"/>
    <w:rsid w:val="00F76B31"/>
    <w:rsid w:val="00F81CD3"/>
    <w:rsid w:val="00F82B82"/>
    <w:rsid w:val="00F83788"/>
    <w:rsid w:val="00F913F7"/>
    <w:rsid w:val="00F91AB2"/>
    <w:rsid w:val="00F92AF4"/>
    <w:rsid w:val="00FA00EA"/>
    <w:rsid w:val="00FA1166"/>
    <w:rsid w:val="00FA4867"/>
    <w:rsid w:val="00FA4C45"/>
    <w:rsid w:val="00FA526E"/>
    <w:rsid w:val="00FA5846"/>
    <w:rsid w:val="00FB1608"/>
    <w:rsid w:val="00FB4E3D"/>
    <w:rsid w:val="00FC1B79"/>
    <w:rsid w:val="00FC3BCC"/>
    <w:rsid w:val="00FC49A7"/>
    <w:rsid w:val="00FC4D85"/>
    <w:rsid w:val="00FC6AAB"/>
    <w:rsid w:val="00FD37DD"/>
    <w:rsid w:val="00FD75A6"/>
    <w:rsid w:val="00FE04D9"/>
    <w:rsid w:val="00FE16CF"/>
    <w:rsid w:val="00FE1823"/>
    <w:rsid w:val="00FE4148"/>
    <w:rsid w:val="00FE44BB"/>
    <w:rsid w:val="00FE5E83"/>
    <w:rsid w:val="00FE7ECF"/>
    <w:rsid w:val="00FF1B19"/>
    <w:rsid w:val="00FF373F"/>
    <w:rsid w:val="00FF7412"/>
    <w:rsid w:val="0122A88E"/>
    <w:rsid w:val="1CA6E8EA"/>
    <w:rsid w:val="1CD3350B"/>
    <w:rsid w:val="26256CD3"/>
    <w:rsid w:val="30E1B609"/>
    <w:rsid w:val="359C5547"/>
    <w:rsid w:val="3C4ED246"/>
    <w:rsid w:val="671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BC9B"/>
  <w15:chartTrackingRefBased/>
  <w15:docId w15:val="{45E322A7-6DCB-454C-BC38-4E20B66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3897"/>
    <w:pPr>
      <w:outlineLvl w:val="0"/>
    </w:pPr>
    <w:rPr>
      <w:b/>
      <w:bCs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3">
    <w:name w:val="List Table 3"/>
    <w:basedOn w:val="Tabel-Normal"/>
    <w:uiPriority w:val="48"/>
    <w:rsid w:val="00A437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234CC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4CC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34CCA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8858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588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E3897"/>
    <w:rPr>
      <w:b/>
      <w:bCs/>
      <w:sz w:val="24"/>
      <w:szCs w:val="24"/>
      <w:u w:val="single"/>
    </w:rPr>
  </w:style>
  <w:style w:type="table" w:styleId="Lysliste">
    <w:name w:val="Light List"/>
    <w:basedOn w:val="Tabel-Normal"/>
    <w:uiPriority w:val="61"/>
    <w:rsid w:val="00E45E2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E634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B97"/>
    <w:rPr>
      <w:rFonts w:ascii="Segoe UI" w:hAnsi="Segoe UI" w:cs="Segoe UI"/>
      <w:sz w:val="18"/>
      <w:szCs w:val="18"/>
    </w:rPr>
  </w:style>
  <w:style w:type="paragraph" w:customStyle="1" w:styleId="2Overskrift2Udennummer">
    <w:name w:val="2 Overskrift 2 Uden nummer"/>
    <w:basedOn w:val="Normal"/>
    <w:next w:val="Normal"/>
    <w:uiPriority w:val="1"/>
    <w:qFormat/>
    <w:rsid w:val="00804F5A"/>
    <w:pPr>
      <w:tabs>
        <w:tab w:val="left" w:pos="221"/>
      </w:tabs>
      <w:spacing w:after="60" w:line="240" w:lineRule="atLeast"/>
    </w:pPr>
    <w:rPr>
      <w:rFonts w:ascii="Arial" w:eastAsiaTheme="majorEastAsia" w:hAnsi="Arial" w:cstheme="majorBidi"/>
      <w:sz w:val="28"/>
      <w:szCs w:val="24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7E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EF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E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E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EF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95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5F19"/>
  </w:style>
  <w:style w:type="paragraph" w:styleId="Sidefod">
    <w:name w:val="footer"/>
    <w:basedOn w:val="Normal"/>
    <w:link w:val="SidefodTegn"/>
    <w:uiPriority w:val="99"/>
    <w:unhideWhenUsed/>
    <w:rsid w:val="00095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5F19"/>
  </w:style>
  <w:style w:type="paragraph" w:customStyle="1" w:styleId="Default">
    <w:name w:val="Default"/>
    <w:rsid w:val="00D61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432DC9"/>
    <w:pPr>
      <w:spacing w:after="0" w:line="240" w:lineRule="auto"/>
    </w:pPr>
  </w:style>
  <w:style w:type="paragraph" w:styleId="Billedtekst">
    <w:name w:val="caption"/>
    <w:basedOn w:val="Normal"/>
    <w:next w:val="Normal"/>
    <w:uiPriority w:val="35"/>
    <w:unhideWhenUsed/>
    <w:qFormat/>
    <w:rsid w:val="00F34D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A74446"/>
    <w:pPr>
      <w:numPr>
        <w:numId w:val="4"/>
      </w:numPr>
      <w:contextualSpacing/>
    </w:pPr>
  </w:style>
  <w:style w:type="character" w:styleId="Omtal">
    <w:name w:val="Mention"/>
    <w:basedOn w:val="Standardskrifttypeiafsnit"/>
    <w:uiPriority w:val="99"/>
    <w:unhideWhenUsed/>
    <w:rsid w:val="00E950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es.dk/oekonomi/finanslov-og-udgiftsopfoelgning/indeks/fastprisberegning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0744E00BC8E4D84DE6CBE092573B5" ma:contentTypeVersion="17" ma:contentTypeDescription="Opret et nyt dokument." ma:contentTypeScope="" ma:versionID="53c3b8d8fc6d1e0217553319765af6fb">
  <xsd:schema xmlns:xsd="http://www.w3.org/2001/XMLSchema" xmlns:xs="http://www.w3.org/2001/XMLSchema" xmlns:p="http://schemas.microsoft.com/office/2006/metadata/properties" xmlns:ns2="984ab566-39de-4289-aecb-ce5c3e807c77" xmlns:ns3="766f457e-7d14-4bf5-99cd-00b16a4d36c6" targetNamespace="http://schemas.microsoft.com/office/2006/metadata/properties" ma:root="true" ma:fieldsID="7192931239a0db2faa0b08e272646fe6" ns2:_="" ns3:_="">
    <xsd:import namespace="984ab566-39de-4289-aecb-ce5c3e807c77"/>
    <xsd:import namespace="766f457e-7d14-4bf5-99cd-00b16a4d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566-39de-4289-aecb-ce5c3e80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457e-7d14-4bf5-99cd-00b16a4d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34e333-fc65-405a-9f07-5e06c0333fdd}" ma:internalName="TaxCatchAll" ma:showField="CatchAllData" ma:web="766f457e-7d14-4bf5-99cd-00b16a4d3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6f457e-7d14-4bf5-99cd-00b16a4d36c6">
      <UserInfo>
        <DisplayName>Trine Fuglsang</DisplayName>
        <AccountId>13</AccountId>
        <AccountType/>
      </UserInfo>
      <UserInfo>
        <DisplayName>Tanja Erendal</DisplayName>
        <AccountId>132</AccountId>
        <AccountType/>
      </UserInfo>
      <UserInfo>
        <DisplayName>Lone Egelund Larsen</DisplayName>
        <AccountId>32</AccountId>
        <AccountType/>
      </UserInfo>
      <UserInfo>
        <DisplayName>Stina Egeberg Riis</DisplayName>
        <AccountId>152</AccountId>
        <AccountType/>
      </UserInfo>
      <UserInfo>
        <DisplayName>Mathilde Mølgaard Bech-Larsen</DisplayName>
        <AccountId>245</AccountId>
        <AccountType/>
      </UserInfo>
      <UserInfo>
        <DisplayName>Jakob Harder</DisplayName>
        <AccountId>71</AccountId>
        <AccountType/>
      </UserInfo>
      <UserInfo>
        <DisplayName>Annegrete Juul</DisplayName>
        <AccountId>126</AccountId>
        <AccountType/>
      </UserInfo>
      <UserInfo>
        <DisplayName>Randi Brinckmann</DisplayName>
        <AccountId>125</AccountId>
        <AccountType/>
      </UserInfo>
      <UserInfo>
        <DisplayName>Pernille Hvid Bergmann</DisplayName>
        <AccountId>190</AccountId>
        <AccountType/>
      </UserInfo>
    </SharedWithUsers>
    <TaxCatchAll xmlns="766f457e-7d14-4bf5-99cd-00b16a4d36c6" xsi:nil="true"/>
    <lcf76f155ced4ddcb4097134ff3c332f xmlns="984ab566-39de-4289-aecb-ce5c3e807c7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78EBB-C25F-4D47-9E04-668C02590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902F7-763D-4DA7-A9F2-D3297C85A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b566-39de-4289-aecb-ce5c3e807c77"/>
    <ds:schemaRef ds:uri="766f457e-7d14-4bf5-99cd-00b16a4d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9377F-6CDE-4143-A2D8-4677E1E977FC}">
  <ds:schemaRefs>
    <ds:schemaRef ds:uri="http://schemas.microsoft.com/office/2006/metadata/properties"/>
    <ds:schemaRef ds:uri="http://schemas.microsoft.com/office/infopath/2007/PartnerControls"/>
    <ds:schemaRef ds:uri="766f457e-7d14-4bf5-99cd-00b16a4d36c6"/>
    <ds:schemaRef ds:uri="984ab566-39de-4289-aecb-ce5c3e807c77"/>
  </ds:schemaRefs>
</ds:datastoreItem>
</file>

<file path=customXml/itemProps4.xml><?xml version="1.0" encoding="utf-8"?>
<ds:datastoreItem xmlns:ds="http://schemas.openxmlformats.org/officeDocument/2006/customXml" ds:itemID="{CD7E9A14-0076-418E-906C-F77020D1F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842</Words>
  <Characters>5143</Characters>
  <Application>Microsoft Office Word</Application>
  <DocSecurity>0</DocSecurity>
  <Lines>42</Lines>
  <Paragraphs>11</Paragraphs>
  <ScaleCrop>false</ScaleCrop>
  <Company>K?benhavns Professionsh?jskole</Company>
  <LinksUpToDate>false</LinksUpToDate>
  <CharactersWithSpaces>5974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https://oes.dk/oekonomi/finanslov-og-udgiftsopfoelgning/indeks/fastprisberegninger/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Dalby Jensen</dc:creator>
  <cp:keywords/>
  <dc:description/>
  <cp:lastModifiedBy>Trine Fuglsang</cp:lastModifiedBy>
  <cp:revision>207</cp:revision>
  <cp:lastPrinted>2023-08-31T11:06:00Z</cp:lastPrinted>
  <dcterms:created xsi:type="dcterms:W3CDTF">2023-07-28T06:06:00Z</dcterms:created>
  <dcterms:modified xsi:type="dcterms:W3CDTF">2023-10-10T11:11:00Z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0x010100F7B0744E00BC8E4D84DE6CBE092573B5</vt:lpwstr>
  </property>
  <property fmtid="{D5CDD505-2E9C-101B-9397-08002B2CF9AE}" pid="3" name="MediaServiceImageTags">
    <vt:lpwstr/>
  </property>
</Properties>
</file>