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7F44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1E8B2CB8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5C3F6097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26"/>
      </w:tblGrid>
      <w:tr w:rsidR="0041134F" w14:paraId="5FBE291F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9613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51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E291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2B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78379B1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C60CE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0C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2241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73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F27EA58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393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7F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B10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98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4D9509C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60B6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684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C940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D9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7B0433B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5333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64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CC03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F6C" w14:textId="34BF896D" w:rsidR="0041134F" w:rsidRDefault="000E3DF9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6A7DE986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15D5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FB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981F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98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C760533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A426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A4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6507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0923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4E292DFD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385E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1CD61376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5BB55375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12CAB5B2" w14:textId="77777777" w:rsidTr="00945FE3">
        <w:tc>
          <w:tcPr>
            <w:tcW w:w="9330" w:type="dxa"/>
          </w:tcPr>
          <w:p w14:paraId="564F952E" w14:textId="77777777"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61AF235" w14:textId="62AC8AFA" w:rsidR="00E3328C" w:rsidRPr="000E3DF9" w:rsidRDefault="000E3DF9" w:rsidP="008D58AE">
            <w:pPr>
              <w:spacing w:before="120" w:after="24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E3DF9">
              <w:rPr>
                <w:rFonts w:cs="Arial"/>
                <w:bCs/>
                <w:iCs/>
                <w:sz w:val="21"/>
                <w:szCs w:val="21"/>
              </w:rPr>
              <w:t xml:space="preserve">Valg af </w:t>
            </w:r>
            <w:proofErr w:type="spellStart"/>
            <w:r w:rsidRPr="000E3DF9">
              <w:rPr>
                <w:rFonts w:cs="Arial"/>
                <w:bCs/>
                <w:iCs/>
                <w:sz w:val="21"/>
                <w:szCs w:val="21"/>
              </w:rPr>
              <w:t>fedtsaturationsteknik</w:t>
            </w:r>
            <w:proofErr w:type="spellEnd"/>
            <w:r w:rsidRPr="000E3DF9">
              <w:rPr>
                <w:rFonts w:cs="Arial"/>
                <w:bCs/>
                <w:iCs/>
                <w:sz w:val="21"/>
                <w:szCs w:val="21"/>
              </w:rPr>
              <w:t xml:space="preserve"> efter kontrastindgivelse ved MR-skanninger med gadoliniumholdigt kontraststof</w:t>
            </w:r>
          </w:p>
        </w:tc>
      </w:tr>
      <w:tr w:rsidR="00D20394" w14:paraId="0EC806B2" w14:textId="77777777" w:rsidTr="00945FE3">
        <w:tc>
          <w:tcPr>
            <w:tcW w:w="9330" w:type="dxa"/>
          </w:tcPr>
          <w:p w14:paraId="05A92A5C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5CAC3D8" w14:textId="74DCC0F4" w:rsidR="0003687B" w:rsidRPr="000E3DF9" w:rsidRDefault="000E3DF9" w:rsidP="00D24F71">
            <w:pPr>
              <w:spacing w:before="120" w:after="240" w:line="360" w:lineRule="auto"/>
              <w:rPr>
                <w:rFonts w:cs="Arial"/>
                <w:iCs/>
                <w:sz w:val="21"/>
                <w:szCs w:val="21"/>
              </w:rPr>
            </w:pPr>
            <w:r w:rsidRPr="000E3DF9">
              <w:rPr>
                <w:rFonts w:cs="Arial"/>
                <w:iCs/>
                <w:sz w:val="21"/>
                <w:szCs w:val="21"/>
              </w:rPr>
              <w:t>Projektet udføres som et samarbejde mellem Radiologisk afdeling, Nykøbing Falster Sygehus,</w:t>
            </w:r>
            <w:r w:rsidR="00926A85">
              <w:rPr>
                <w:rFonts w:cs="Arial"/>
                <w:iCs/>
                <w:sz w:val="21"/>
                <w:szCs w:val="21"/>
              </w:rPr>
              <w:t xml:space="preserve"> </w:t>
            </w:r>
            <w:r w:rsidRPr="000E3DF9">
              <w:rPr>
                <w:rFonts w:cs="Arial"/>
                <w:iCs/>
                <w:sz w:val="21"/>
                <w:szCs w:val="21"/>
              </w:rPr>
              <w:t>og Radiografuddannelsen på Københavns Professionshøjskole.</w:t>
            </w:r>
          </w:p>
        </w:tc>
      </w:tr>
      <w:tr w:rsidR="00D20394" w14:paraId="2EF0D7C3" w14:textId="77777777" w:rsidTr="00945FE3">
        <w:tc>
          <w:tcPr>
            <w:tcW w:w="9330" w:type="dxa"/>
          </w:tcPr>
          <w:p w14:paraId="2AB58A3F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96CA106" w14:textId="77777777" w:rsidR="000E3DF9" w:rsidRPr="000E3DF9" w:rsidRDefault="000E3DF9" w:rsidP="000E3DF9">
            <w:pPr>
              <w:tabs>
                <w:tab w:val="clear" w:pos="221"/>
              </w:tabs>
              <w:spacing w:before="120" w:line="240" w:lineRule="auto"/>
              <w:rPr>
                <w:rFonts w:cs="Arial"/>
                <w:iCs/>
                <w:sz w:val="21"/>
                <w:szCs w:val="21"/>
              </w:rPr>
            </w:pP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Fedtsaturation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/Fat suppression er et almindeligt anvendt princip inden for MR billeddannelse. Formålet ved 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fedtsaturation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 er at undertrykke signalet fra adipøst væv eller detektere adipøst væv. I forbindelse med MR-skanninger med gadoliniumholdigt kontraststof bliver sekvenser med 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fedtsaturationsteknikker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 som regel anvendt for at forbedre visualisering af kontrastopladning i patologien, da både det adipøse væv og kontraststoffet bidrager med højt signal til T1-vægtede sekvenser efter kontrastindgiftning.</w:t>
            </w:r>
          </w:p>
          <w:p w14:paraId="42E038D3" w14:textId="776A329A" w:rsidR="00D20394" w:rsidRPr="00D20394" w:rsidRDefault="000E3DF9" w:rsidP="000E3DF9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00E3DF9">
              <w:rPr>
                <w:rFonts w:cs="Arial"/>
                <w:iCs/>
                <w:sz w:val="21"/>
                <w:szCs w:val="21"/>
              </w:rPr>
              <w:t xml:space="preserve">Der foreligger forskellige 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fedtsaturationsteknikker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>, som kan anvendes til MR billeddannelsen såsom ”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chemical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>/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spectral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saturation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”, Dixon metode og STIR. Det er væsentligt at vælge den passende teknik som tjener til den konkrete kliniske problemstilling man vil løse under skanningen. Det er superbrugerne, som opsætter protokollerne i samråd med MR-radiologerne på de lokale sygehuse, og den fortrukne 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fedtsaturationsteknik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 i den samme protokol kan variere fra det ene sygehus til et andet. Der bliver f.eks. anvendt forskellige 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fedtsaturationsteknikker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 på de forskellige radiologiske afdelinger i Region Sjælland. Derfor kunne være interessant at udføre sekvenser med forskellige 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fedtsaturationsteknikker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 xml:space="preserve"> på udvalgte patienter i Radiologisk afdeling, Nykøbing F. Sygehus, for at sammenligne billedkvalitet ved hjælp af udmåling af CNR (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contrast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>-</w:t>
            </w:r>
            <w:proofErr w:type="spellStart"/>
            <w:r w:rsidRPr="000E3DF9">
              <w:rPr>
                <w:rFonts w:cs="Arial"/>
                <w:iCs/>
                <w:sz w:val="21"/>
                <w:szCs w:val="21"/>
              </w:rPr>
              <w:t>noise</w:t>
            </w:r>
            <w:proofErr w:type="spellEnd"/>
            <w:r w:rsidRPr="000E3DF9">
              <w:rPr>
                <w:rFonts w:cs="Arial"/>
                <w:iCs/>
                <w:sz w:val="21"/>
                <w:szCs w:val="21"/>
              </w:rPr>
              <w:t>-ratio). Derudover kunne man evt. også undersøge diagnostisk værdi af de udførte sekvenser i samråd med MR-radiologen i afdelingen.</w:t>
            </w:r>
          </w:p>
        </w:tc>
      </w:tr>
      <w:tr w:rsidR="00D20394" w14:paraId="7882D25B" w14:textId="77777777" w:rsidTr="00945FE3">
        <w:tc>
          <w:tcPr>
            <w:tcW w:w="9330" w:type="dxa"/>
          </w:tcPr>
          <w:p w14:paraId="689216E6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638821BA" w14:textId="416B419D" w:rsidR="00D20394" w:rsidRPr="000E3DF9" w:rsidRDefault="000E3DF9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 w:val="22"/>
              </w:rPr>
            </w:pPr>
            <w:r w:rsidRPr="000E3DF9">
              <w:rPr>
                <w:rFonts w:cs="Arial"/>
                <w:iCs/>
                <w:sz w:val="21"/>
                <w:szCs w:val="21"/>
              </w:rPr>
              <w:t>Projektet er kvantitativt, men studiedesignet er stadig åbent, så I kan være med til at forme projektet i samarbejde med vejledere. De studerende har mulighed for at vælge at fordybe sig i én eller flere protokoller efter behov.</w:t>
            </w:r>
          </w:p>
        </w:tc>
      </w:tr>
      <w:tr w:rsidR="00D20394" w14:paraId="0AAFAFF3" w14:textId="77777777" w:rsidTr="00945FE3">
        <w:tc>
          <w:tcPr>
            <w:tcW w:w="9330" w:type="dxa"/>
          </w:tcPr>
          <w:p w14:paraId="4DCCDB94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61FB8F27" w14:textId="4144FB4F" w:rsidR="00D20394" w:rsidRPr="000E3DF9" w:rsidRDefault="00D87DB3" w:rsidP="0040357E">
            <w:pPr>
              <w:spacing w:before="120" w:after="240" w:line="240" w:lineRule="auto"/>
              <w:rPr>
                <w:rFonts w:cs="Arial"/>
                <w:b/>
                <w:bCs/>
                <w:iCs/>
                <w:color w:val="FF0000"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>Forår</w:t>
            </w:r>
            <w:r w:rsidR="000E3DF9" w:rsidRPr="000E3DF9">
              <w:rPr>
                <w:rFonts w:cs="Arial"/>
                <w:iCs/>
                <w:sz w:val="21"/>
                <w:szCs w:val="21"/>
              </w:rPr>
              <w:t xml:space="preserve"> 202</w:t>
            </w:r>
            <w:r>
              <w:rPr>
                <w:rFonts w:cs="Arial"/>
                <w:iCs/>
                <w:sz w:val="21"/>
                <w:szCs w:val="21"/>
              </w:rPr>
              <w:t>1</w:t>
            </w:r>
          </w:p>
        </w:tc>
      </w:tr>
      <w:tr w:rsidR="00D20394" w:rsidRPr="000E3DF9" w14:paraId="16CD93C0" w14:textId="77777777" w:rsidTr="00945FE3">
        <w:tc>
          <w:tcPr>
            <w:tcW w:w="9330" w:type="dxa"/>
          </w:tcPr>
          <w:p w14:paraId="32D917F0" w14:textId="77777777" w:rsidR="00D20394" w:rsidRPr="000E3DF9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0E3DF9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0E3DF9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0E3DF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1DD07931" w14:textId="61C6188D" w:rsidR="00E12874" w:rsidRPr="00D87DB3" w:rsidRDefault="000E3DF9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D87DB3">
              <w:rPr>
                <w:rFonts w:cs="Arial"/>
                <w:sz w:val="21"/>
                <w:szCs w:val="21"/>
              </w:rPr>
              <w:t>Micki Ji</w:t>
            </w:r>
            <w:r w:rsidR="00D20394" w:rsidRPr="00D87DB3">
              <w:rPr>
                <w:rFonts w:cs="Arial"/>
                <w:sz w:val="21"/>
                <w:szCs w:val="21"/>
              </w:rPr>
              <w:t>,</w:t>
            </w:r>
            <w:r w:rsidRPr="00D87DB3">
              <w:t xml:space="preserve"> </w:t>
            </w:r>
            <w:r w:rsidRPr="00D87DB3">
              <w:rPr>
                <w:rFonts w:cs="Arial"/>
                <w:sz w:val="21"/>
                <w:szCs w:val="21"/>
              </w:rPr>
              <w:t>mpji@regionsjaelland.dk</w:t>
            </w:r>
            <w:r w:rsidR="000C03FF" w:rsidRPr="00D87DB3">
              <w:rPr>
                <w:rFonts w:cs="Arial"/>
                <w:sz w:val="21"/>
                <w:szCs w:val="21"/>
              </w:rPr>
              <w:t xml:space="preserve"> </w:t>
            </w:r>
          </w:p>
          <w:p w14:paraId="4D782FC6" w14:textId="46D5C20A" w:rsidR="000E3DF9" w:rsidRPr="000E3DF9" w:rsidRDefault="000E3DF9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0E3DF9">
              <w:rPr>
                <w:rFonts w:cs="Arial"/>
                <w:sz w:val="21"/>
                <w:szCs w:val="21"/>
              </w:rPr>
              <w:t>Ditte Eklund Nygaard, dien@k</w:t>
            </w:r>
            <w:r>
              <w:rPr>
                <w:rFonts w:cs="Arial"/>
                <w:sz w:val="21"/>
                <w:szCs w:val="21"/>
              </w:rPr>
              <w:t>p.dk</w:t>
            </w:r>
          </w:p>
        </w:tc>
      </w:tr>
    </w:tbl>
    <w:p w14:paraId="2DACECE2" w14:textId="77777777" w:rsidR="00E6278A" w:rsidRPr="000E3DF9" w:rsidRDefault="00E6278A" w:rsidP="003238E5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0E3DF9" w:rsidSect="00F64B35">
      <w:headerReference w:type="even" r:id="rId12"/>
      <w:headerReference w:type="default" r:id="rId13"/>
      <w:headerReference w:type="first" r:id="rId14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820C" w14:textId="77777777" w:rsidR="00AD244E" w:rsidRDefault="00AD244E" w:rsidP="00981596">
      <w:pPr>
        <w:spacing w:line="240" w:lineRule="auto"/>
      </w:pPr>
      <w:r>
        <w:separator/>
      </w:r>
    </w:p>
  </w:endnote>
  <w:endnote w:type="continuationSeparator" w:id="0">
    <w:p w14:paraId="1400A883" w14:textId="77777777" w:rsidR="00AD244E" w:rsidRDefault="00AD244E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45D3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F04C589" wp14:editId="451AD623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02305EF0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AAB0" w14:textId="77777777" w:rsidR="00AD244E" w:rsidRDefault="00AD244E" w:rsidP="00981596">
      <w:pPr>
        <w:spacing w:line="240" w:lineRule="auto"/>
      </w:pPr>
      <w:r>
        <w:separator/>
      </w:r>
    </w:p>
  </w:footnote>
  <w:footnote w:type="continuationSeparator" w:id="0">
    <w:p w14:paraId="33F823B9" w14:textId="77777777" w:rsidR="00AD244E" w:rsidRDefault="00AD244E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0060" w14:textId="77777777" w:rsidR="00981596" w:rsidRDefault="005E7D29">
    <w:pPr>
      <w:pStyle w:val="Sidehoved"/>
    </w:pPr>
    <w:r>
      <w:rPr>
        <w:noProof/>
        <w:lang w:eastAsia="da-DK"/>
      </w:rPr>
      <w:pict w14:anchorId="33DF5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F03B" w14:textId="77777777" w:rsidR="00981596" w:rsidRDefault="005E7D29">
    <w:pPr>
      <w:pStyle w:val="Sidehoved"/>
    </w:pPr>
    <w:r>
      <w:rPr>
        <w:noProof/>
        <w:lang w:eastAsia="da-DK"/>
      </w:rPr>
      <w:pict w14:anchorId="1A5E0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A9A5" w14:textId="77777777" w:rsidR="00F64B35" w:rsidRDefault="00F64B35">
    <w:pPr>
      <w:pStyle w:val="Sidehoved"/>
    </w:pPr>
    <w:r w:rsidRPr="00F64B35">
      <w:rPr>
        <w:noProof/>
      </w:rPr>
      <w:drawing>
        <wp:anchor distT="0" distB="0" distL="114300" distR="114300" simplePos="0" relativeHeight="251666432" behindDoc="0" locked="0" layoutInCell="1" allowOverlap="1" wp14:anchorId="23EA9732" wp14:editId="79B71C85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</w:rPr>
      <w:drawing>
        <wp:anchor distT="0" distB="0" distL="114300" distR="114300" simplePos="0" relativeHeight="251667456" behindDoc="0" locked="0" layoutInCell="1" allowOverlap="1" wp14:anchorId="00CE25D6" wp14:editId="7F8E3E9B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94E9" w14:textId="77777777" w:rsidR="00F43DCB" w:rsidRDefault="005E7D29">
    <w:pPr>
      <w:pStyle w:val="Sidehoved"/>
    </w:pPr>
    <w:r>
      <w:rPr>
        <w:noProof/>
        <w:lang w:eastAsia="da-DK"/>
      </w:rPr>
      <w:pict w14:anchorId="3195C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DF45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AC26" w14:textId="77777777" w:rsidR="00F43DCB" w:rsidRDefault="005E7D29">
    <w:pPr>
      <w:pStyle w:val="Sidehoved"/>
    </w:pPr>
    <w:r>
      <w:rPr>
        <w:noProof/>
        <w:lang w:eastAsia="da-DK"/>
      </w:rPr>
      <w:pict w14:anchorId="5AF90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96"/>
    <w:rsid w:val="0003687B"/>
    <w:rsid w:val="000C03FF"/>
    <w:rsid w:val="000E14AC"/>
    <w:rsid w:val="000E34F5"/>
    <w:rsid w:val="000E3DF9"/>
    <w:rsid w:val="001B78B6"/>
    <w:rsid w:val="00250018"/>
    <w:rsid w:val="002E7362"/>
    <w:rsid w:val="003238E5"/>
    <w:rsid w:val="00350CC1"/>
    <w:rsid w:val="003A108C"/>
    <w:rsid w:val="003B3A3E"/>
    <w:rsid w:val="0040357E"/>
    <w:rsid w:val="00407A06"/>
    <w:rsid w:val="0041134F"/>
    <w:rsid w:val="00432A07"/>
    <w:rsid w:val="004726B7"/>
    <w:rsid w:val="0048142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51D0A"/>
    <w:rsid w:val="00752F24"/>
    <w:rsid w:val="007A7675"/>
    <w:rsid w:val="007E3C6A"/>
    <w:rsid w:val="008D58AE"/>
    <w:rsid w:val="008E463A"/>
    <w:rsid w:val="00926A85"/>
    <w:rsid w:val="00945FE3"/>
    <w:rsid w:val="00970E9D"/>
    <w:rsid w:val="00976465"/>
    <w:rsid w:val="00977F12"/>
    <w:rsid w:val="00981596"/>
    <w:rsid w:val="009F3E49"/>
    <w:rsid w:val="00A2343B"/>
    <w:rsid w:val="00A81436"/>
    <w:rsid w:val="00AB0A1E"/>
    <w:rsid w:val="00AD244E"/>
    <w:rsid w:val="00AE49B6"/>
    <w:rsid w:val="00AF4BE6"/>
    <w:rsid w:val="00B40B0C"/>
    <w:rsid w:val="00B459C0"/>
    <w:rsid w:val="00BC4D23"/>
    <w:rsid w:val="00BF1BFE"/>
    <w:rsid w:val="00D20394"/>
    <w:rsid w:val="00D22076"/>
    <w:rsid w:val="00D22C22"/>
    <w:rsid w:val="00D24F71"/>
    <w:rsid w:val="00D87DB3"/>
    <w:rsid w:val="00DB61E1"/>
    <w:rsid w:val="00DD48B9"/>
    <w:rsid w:val="00DF1687"/>
    <w:rsid w:val="00E01A6C"/>
    <w:rsid w:val="00E12874"/>
    <w:rsid w:val="00E3328C"/>
    <w:rsid w:val="00E60361"/>
    <w:rsid w:val="00E6278A"/>
    <w:rsid w:val="00F43DCB"/>
    <w:rsid w:val="00F64B35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DB173D7"/>
  <w15:docId w15:val="{32DFEA14-11AD-432A-8522-1AD2598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51E9-39C9-45FB-9B54-081168E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August Skommer Larsen</cp:lastModifiedBy>
  <cp:revision>2</cp:revision>
  <cp:lastPrinted>2013-11-20T12:56:00Z</cp:lastPrinted>
  <dcterms:created xsi:type="dcterms:W3CDTF">2021-01-18T08:53:00Z</dcterms:created>
  <dcterms:modified xsi:type="dcterms:W3CDTF">2021-01-18T08:53:00Z</dcterms:modified>
</cp:coreProperties>
</file>