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786C05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945FE3">
        <w:tc>
          <w:tcPr>
            <w:tcW w:w="9330" w:type="dxa"/>
          </w:tcPr>
          <w:p w:rsidR="00510A1B" w:rsidRDefault="007A7675" w:rsidP="00510A1B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Pr="00510A1B" w:rsidRDefault="00786C05" w:rsidP="00510A1B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Hvordan arbejder</w:t>
            </w:r>
            <w:r w:rsidR="00510A1B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 xml:space="preserve">ergoterapeuter med retningslinjerne ift. </w:t>
            </w:r>
            <w:proofErr w:type="spellStart"/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konsistenser</w:t>
            </w:r>
            <w:proofErr w:type="spellEnd"/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 xml:space="preserve"> til</w:t>
            </w:r>
            <w:r w:rsidR="00486829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 xml:space="preserve"> patienter med </w:t>
            </w:r>
            <w:proofErr w:type="spellStart"/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dysfagi</w:t>
            </w:r>
            <w:proofErr w:type="spellEnd"/>
            <w:r w:rsidRPr="00786C05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?</w:t>
            </w:r>
            <w:r w:rsidR="00D208EB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510A1B"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Og går de det overhovedet?</w:t>
            </w:r>
          </w:p>
          <w:p w:rsidR="00786C05" w:rsidRPr="00510A1B" w:rsidRDefault="00510A1B" w:rsidP="00786C05">
            <w:pPr>
              <w:tabs>
                <w:tab w:val="clear" w:pos="221"/>
              </w:tabs>
              <w:spacing w:before="100" w:beforeAutospacing="1" w:after="100" w:afterAutospacing="1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Hvordan påvirker det patienten/borgeren hvis der ikke arbejdes ud fra samme retningslinjer på tværs af sektorer?</w:t>
            </w:r>
          </w:p>
        </w:tc>
      </w:tr>
      <w:tr w:rsidR="00D20394" w:rsidTr="00945FE3">
        <w:tc>
          <w:tcPr>
            <w:tcW w:w="9330" w:type="dxa"/>
          </w:tcPr>
          <w:p w:rsidR="00510A1B" w:rsidRDefault="00510A1B" w:rsidP="00786C05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D20394" w:rsidRPr="00E6278A" w:rsidRDefault="00D20394" w:rsidP="00786C05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Pr="0003687B" w:rsidRDefault="00786C05" w:rsidP="00786C05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Fysio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- og </w:t>
            </w:r>
            <w:r w:rsidRPr="003B7936">
              <w:rPr>
                <w:rFonts w:cs="Arial"/>
                <w:bCs/>
                <w:sz w:val="24"/>
                <w:szCs w:val="24"/>
              </w:rPr>
              <w:t>Ergoterapien på Hvidovre Hospital</w:t>
            </w:r>
            <w:r>
              <w:rPr>
                <w:rFonts w:cs="Arial"/>
                <w:bCs/>
                <w:sz w:val="24"/>
                <w:szCs w:val="24"/>
              </w:rPr>
              <w:t xml:space="preserve"> ge</w:t>
            </w:r>
            <w:r w:rsidRPr="003B7936">
              <w:rPr>
                <w:rFonts w:cs="Arial"/>
                <w:color w:val="333333"/>
                <w:sz w:val="24"/>
                <w:szCs w:val="24"/>
              </w:rPr>
              <w:t>noptræner patienter på hele hospitalet, børn som voksne</w:t>
            </w:r>
            <w:r>
              <w:rPr>
                <w:rFonts w:cs="Arial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Dysfagi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er en stor </w:t>
            </w:r>
            <w:r w:rsidR="00486829">
              <w:rPr>
                <w:rFonts w:cs="Arial"/>
                <w:color w:val="333333"/>
                <w:sz w:val="24"/>
                <w:szCs w:val="24"/>
              </w:rPr>
              <w:t xml:space="preserve">del af det daglige ergoterapeutiske arbejde indenfor det indlagte område. Der ses dagligt flere patienter med </w:t>
            </w:r>
            <w:proofErr w:type="spellStart"/>
            <w:r w:rsidR="00486829">
              <w:rPr>
                <w:rFonts w:cs="Arial"/>
                <w:color w:val="333333"/>
                <w:sz w:val="24"/>
                <w:szCs w:val="24"/>
              </w:rPr>
              <w:t>dysfagi</w:t>
            </w:r>
            <w:proofErr w:type="spellEnd"/>
            <w:r w:rsidR="00486829">
              <w:rPr>
                <w:rFonts w:cs="Arial"/>
                <w:color w:val="333333"/>
                <w:sz w:val="24"/>
                <w:szCs w:val="24"/>
              </w:rPr>
              <w:t xml:space="preserve">, og det er et stort ergoterapeutisk ansvarsområde i samarbejde med tværfagligt personale. 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486829" w:rsidRDefault="00346A49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346A49">
              <w:rPr>
                <w:rFonts w:cs="Arial"/>
                <w:sz w:val="24"/>
                <w:szCs w:val="24"/>
              </w:rPr>
              <w:t xml:space="preserve">Hvordan arbejder ergoterapeuterne med retningslinjerne ift. </w:t>
            </w:r>
            <w:proofErr w:type="spellStart"/>
            <w:r w:rsidRPr="00346A49">
              <w:rPr>
                <w:rFonts w:cs="Arial"/>
                <w:sz w:val="24"/>
                <w:szCs w:val="24"/>
              </w:rPr>
              <w:t>konsistenser</w:t>
            </w:r>
            <w:proofErr w:type="spellEnd"/>
            <w:r w:rsidRPr="00346A49">
              <w:rPr>
                <w:rFonts w:cs="Arial"/>
                <w:sz w:val="24"/>
                <w:szCs w:val="24"/>
              </w:rPr>
              <w:t xml:space="preserve"> hos patienter med </w:t>
            </w:r>
            <w:proofErr w:type="spellStart"/>
            <w:r w:rsidRPr="00346A49">
              <w:rPr>
                <w:rFonts w:cs="Arial"/>
                <w:sz w:val="24"/>
                <w:szCs w:val="24"/>
              </w:rPr>
              <w:t>dysfagi</w:t>
            </w:r>
            <w:proofErr w:type="spellEnd"/>
            <w:r w:rsidRPr="00346A49">
              <w:rPr>
                <w:rFonts w:cs="Arial"/>
                <w:sz w:val="24"/>
                <w:szCs w:val="24"/>
              </w:rPr>
              <w:t xml:space="preserve"> i deres daglige praksis?</w:t>
            </w:r>
          </w:p>
          <w:p w:rsidR="00346A49" w:rsidRPr="00346A49" w:rsidRDefault="00346A49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Er der en fælles forståelse for og brug af retningslinjerne ift. </w:t>
            </w:r>
            <w:proofErr w:type="spellStart"/>
            <w:r>
              <w:rPr>
                <w:rFonts w:cs="Arial"/>
                <w:sz w:val="24"/>
                <w:szCs w:val="24"/>
              </w:rPr>
              <w:t>konsistenser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blandt ergoterapeuter?</w:t>
            </w:r>
          </w:p>
          <w:p w:rsidR="00346A49" w:rsidRPr="00346A49" w:rsidRDefault="00346A49" w:rsidP="00346A4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346A49">
              <w:rPr>
                <w:rFonts w:cs="Arial"/>
                <w:sz w:val="24"/>
                <w:szCs w:val="24"/>
              </w:rPr>
              <w:t xml:space="preserve">Arbejder ergoterapeuterne med retningslinjerne ift. </w:t>
            </w:r>
            <w:proofErr w:type="spellStart"/>
            <w:r w:rsidRPr="00346A49">
              <w:rPr>
                <w:rFonts w:cs="Arial"/>
                <w:sz w:val="24"/>
                <w:szCs w:val="24"/>
              </w:rPr>
              <w:t>konsistenser</w:t>
            </w:r>
            <w:proofErr w:type="spellEnd"/>
            <w:r w:rsidRPr="00346A49">
              <w:rPr>
                <w:rFonts w:cs="Arial"/>
                <w:sz w:val="24"/>
                <w:szCs w:val="24"/>
              </w:rPr>
              <w:t xml:space="preserve"> hos patienter med </w:t>
            </w:r>
            <w:proofErr w:type="spellStart"/>
            <w:r w:rsidRPr="00346A49">
              <w:rPr>
                <w:rFonts w:cs="Arial"/>
                <w:sz w:val="24"/>
                <w:szCs w:val="24"/>
              </w:rPr>
              <w:t>dysfagi</w:t>
            </w:r>
            <w:proofErr w:type="spellEnd"/>
            <w:r w:rsidRPr="00346A49">
              <w:rPr>
                <w:rFonts w:cs="Arial"/>
                <w:sz w:val="24"/>
                <w:szCs w:val="24"/>
              </w:rPr>
              <w:t>?</w:t>
            </w:r>
          </w:p>
          <w:p w:rsidR="00346A49" w:rsidRPr="00510A1B" w:rsidRDefault="00346A49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346A49">
              <w:rPr>
                <w:rFonts w:cs="Arial"/>
                <w:sz w:val="24"/>
                <w:szCs w:val="24"/>
              </w:rPr>
              <w:t>Arbejder ergoterapeuterne på hospital og</w:t>
            </w:r>
            <w:r>
              <w:rPr>
                <w:rFonts w:cs="Arial"/>
                <w:sz w:val="24"/>
                <w:szCs w:val="24"/>
              </w:rPr>
              <w:t xml:space="preserve"> i</w:t>
            </w:r>
            <w:r w:rsidRPr="00346A49">
              <w:rPr>
                <w:rFonts w:cs="Arial"/>
                <w:sz w:val="24"/>
                <w:szCs w:val="24"/>
              </w:rPr>
              <w:t xml:space="preserve"> kommune med de samme retningslinjer? </w:t>
            </w:r>
          </w:p>
          <w:p w:rsidR="00346A49" w:rsidRPr="00346A49" w:rsidRDefault="00346A49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346A49">
              <w:rPr>
                <w:rFonts w:cs="Arial"/>
                <w:sz w:val="24"/>
                <w:szCs w:val="24"/>
              </w:rPr>
              <w:t xml:space="preserve">Ift. retningslinjer omkring </w:t>
            </w:r>
            <w:proofErr w:type="spellStart"/>
            <w:r w:rsidRPr="00346A49">
              <w:rPr>
                <w:rFonts w:cs="Arial"/>
                <w:sz w:val="24"/>
                <w:szCs w:val="24"/>
              </w:rPr>
              <w:t>konsistenser</w:t>
            </w:r>
            <w:proofErr w:type="spellEnd"/>
            <w:r w:rsidRPr="00346A49">
              <w:rPr>
                <w:rFonts w:cs="Arial"/>
                <w:sz w:val="24"/>
                <w:szCs w:val="24"/>
              </w:rPr>
              <w:t xml:space="preserve"> brug følgende link:</w:t>
            </w:r>
          </w:p>
          <w:p w:rsidR="00D20394" w:rsidRDefault="00510A1B" w:rsidP="00346A4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1"/>
                <w:szCs w:val="21"/>
              </w:rPr>
            </w:pPr>
            <w:hyperlink r:id="rId14" w:history="1">
              <w:r w:rsidR="00346A49" w:rsidRPr="00D808B3">
                <w:rPr>
                  <w:rStyle w:val="Hyperlink"/>
                  <w:rFonts w:cs="Arial"/>
                  <w:sz w:val="21"/>
                  <w:szCs w:val="21"/>
                </w:rPr>
                <w:t>https://kosthåndbogen.dk/content/dysfagidi%C3%A6t-kost-med-modificeret-konsistens</w:t>
              </w:r>
            </w:hyperlink>
          </w:p>
          <w:p w:rsidR="00346A49" w:rsidRPr="00346A49" w:rsidRDefault="00346A49" w:rsidP="00346A4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486829" w:rsidRPr="00215BBE" w:rsidRDefault="00486829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215BBE">
              <w:rPr>
                <w:rFonts w:cs="Arial"/>
                <w:sz w:val="24"/>
                <w:szCs w:val="24"/>
              </w:rPr>
              <w:t>Interview af ergoterapeuter.</w:t>
            </w:r>
          </w:p>
          <w:p w:rsidR="00486829" w:rsidRPr="00215BBE" w:rsidRDefault="00486829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215BBE">
              <w:rPr>
                <w:rFonts w:cs="Arial"/>
                <w:sz w:val="24"/>
                <w:szCs w:val="24"/>
              </w:rPr>
              <w:t xml:space="preserve">Spørgeskema evt. regionalt med henblik på hvordan der arbejdes med retningslinjerne ift. </w:t>
            </w:r>
            <w:proofErr w:type="spellStart"/>
            <w:r w:rsidRPr="00215BBE">
              <w:rPr>
                <w:rFonts w:cs="Arial"/>
                <w:sz w:val="24"/>
                <w:szCs w:val="24"/>
              </w:rPr>
              <w:t>konsistenser</w:t>
            </w:r>
            <w:proofErr w:type="spellEnd"/>
            <w:r w:rsidRPr="00215BBE">
              <w:rPr>
                <w:rFonts w:cs="Arial"/>
                <w:sz w:val="24"/>
                <w:szCs w:val="24"/>
              </w:rPr>
              <w:t xml:space="preserve"> både på hospitaler men også i kommunerne.</w:t>
            </w:r>
          </w:p>
          <w:p w:rsidR="00D20394" w:rsidRPr="00215BBE" w:rsidRDefault="00486829" w:rsidP="0048682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215BBE">
              <w:rPr>
                <w:rFonts w:cs="Arial"/>
                <w:sz w:val="24"/>
                <w:szCs w:val="24"/>
              </w:rPr>
              <w:t xml:space="preserve">Observation af den ergoterapeutiske praksis ift. </w:t>
            </w:r>
            <w:proofErr w:type="spellStart"/>
            <w:r w:rsidRPr="00215BBE">
              <w:rPr>
                <w:rFonts w:cs="Arial"/>
                <w:sz w:val="24"/>
                <w:szCs w:val="24"/>
              </w:rPr>
              <w:t>dysfagi</w:t>
            </w:r>
            <w:proofErr w:type="spellEnd"/>
            <w:r w:rsidRPr="00215BBE">
              <w:rPr>
                <w:rFonts w:cs="Arial"/>
                <w:sz w:val="24"/>
                <w:szCs w:val="24"/>
              </w:rPr>
              <w:t xml:space="preserve">. </w:t>
            </w:r>
          </w:p>
          <w:p w:rsidR="00486829" w:rsidRPr="00486829" w:rsidRDefault="00486829" w:rsidP="0048682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Default="00486829" w:rsidP="0040357E">
            <w:pPr>
              <w:spacing w:before="120" w:after="240" w:line="240" w:lineRule="auto"/>
              <w:rPr>
                <w:rFonts w:cs="Arial"/>
                <w:sz w:val="24"/>
                <w:szCs w:val="24"/>
              </w:rPr>
            </w:pPr>
            <w:r w:rsidRPr="00215BBE">
              <w:rPr>
                <w:rFonts w:cs="Arial"/>
                <w:sz w:val="24"/>
                <w:szCs w:val="24"/>
              </w:rPr>
              <w:t xml:space="preserve">Det kan være hele året. </w:t>
            </w:r>
          </w:p>
          <w:p w:rsidR="00510A1B" w:rsidRPr="00215BBE" w:rsidRDefault="00510A1B" w:rsidP="0040357E">
            <w:pPr>
              <w:spacing w:before="12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D58AE" w:rsidTr="00945FE3">
        <w:tc>
          <w:tcPr>
            <w:tcW w:w="9330" w:type="dxa"/>
          </w:tcPr>
          <w:p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Henvendelse om projektforslaget</w:t>
            </w:r>
          </w:p>
          <w:p w:rsidR="00A2343B" w:rsidRPr="00215BBE" w:rsidRDefault="00486829" w:rsidP="00486829">
            <w:pPr>
              <w:spacing w:before="120" w:line="240" w:lineRule="auto"/>
              <w:rPr>
                <w:sz w:val="24"/>
                <w:szCs w:val="24"/>
              </w:rPr>
            </w:pPr>
            <w:r w:rsidRPr="00215BBE">
              <w:rPr>
                <w:sz w:val="24"/>
                <w:szCs w:val="24"/>
              </w:rPr>
              <w:t>Henvendelse kan ske via mail til kontaktpersonerne.</w:t>
            </w:r>
          </w:p>
          <w:p w:rsidR="00486829" w:rsidRPr="00486829" w:rsidRDefault="00486829" w:rsidP="00486829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  <w:tr w:rsidR="00D20394" w:rsidRPr="00510A1B" w:rsidTr="00945FE3">
        <w:tc>
          <w:tcPr>
            <w:tcW w:w="9330" w:type="dxa"/>
          </w:tcPr>
          <w:p w:rsidR="00D20394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486829" w:rsidRPr="00510A1B" w:rsidRDefault="00486829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510A1B">
              <w:rPr>
                <w:rFonts w:cs="Arial"/>
                <w:bCs/>
                <w:sz w:val="24"/>
                <w:szCs w:val="24"/>
              </w:rPr>
              <w:t>Sofie Dill – 38622232</w:t>
            </w:r>
          </w:p>
          <w:p w:rsidR="00486829" w:rsidRPr="00510A1B" w:rsidRDefault="00510A1B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hyperlink r:id="rId15" w:history="1">
              <w:r w:rsidR="00486829" w:rsidRPr="00510A1B">
                <w:rPr>
                  <w:rStyle w:val="Hyperlink"/>
                  <w:rFonts w:cs="Arial"/>
                  <w:sz w:val="24"/>
                  <w:szCs w:val="24"/>
                </w:rPr>
                <w:t>Sofie.dill@regionh.dk</w:t>
              </w:r>
            </w:hyperlink>
          </w:p>
          <w:p w:rsidR="00486829" w:rsidRDefault="00486829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>Pernille My Pedersen – 38622232</w:t>
            </w:r>
          </w:p>
          <w:p w:rsidR="00486829" w:rsidRDefault="00510A1B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hyperlink r:id="rId16" w:history="1">
              <w:r w:rsidR="00486829" w:rsidRPr="00D808B3">
                <w:rPr>
                  <w:rStyle w:val="Hyperlink"/>
                  <w:rFonts w:cs="Arial"/>
                  <w:sz w:val="24"/>
                  <w:szCs w:val="24"/>
                  <w:lang w:val="en-US"/>
                </w:rPr>
                <w:t>Pernille.my.pedersen@regionh.dk</w:t>
              </w:r>
            </w:hyperlink>
          </w:p>
          <w:p w:rsidR="00486829" w:rsidRPr="00486829" w:rsidRDefault="00486829" w:rsidP="00D20394">
            <w:pPr>
              <w:spacing w:before="12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E12874" w:rsidRPr="00510A1B" w:rsidRDefault="00E12874" w:rsidP="00A2343B">
            <w:pPr>
              <w:spacing w:before="120" w:after="240" w:line="360" w:lineRule="auto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D20394" w:rsidRPr="00510A1B" w:rsidTr="00976465">
        <w:trPr>
          <w:trHeight w:val="1339"/>
        </w:trPr>
        <w:tc>
          <w:tcPr>
            <w:tcW w:w="9330" w:type="dxa"/>
          </w:tcPr>
          <w:p w:rsidR="00AB0A1E" w:rsidRPr="00510A1B" w:rsidRDefault="00E01A6C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  <w:lang w:val="en-US"/>
              </w:rPr>
            </w:pPr>
            <w:r w:rsidRPr="00510A1B">
              <w:rPr>
                <w:i/>
                <w:sz w:val="21"/>
                <w:szCs w:val="21"/>
                <w:lang w:val="en-US"/>
              </w:rPr>
              <w:tab/>
            </w:r>
          </w:p>
        </w:tc>
      </w:tr>
    </w:tbl>
    <w:p w:rsidR="00E6278A" w:rsidRPr="00510A1B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  <w:lang w:val="en-US"/>
        </w:rPr>
      </w:pPr>
    </w:p>
    <w:sectPr w:rsidR="00E6278A" w:rsidRPr="00510A1B" w:rsidSect="00F64B35">
      <w:headerReference w:type="even" r:id="rId17"/>
      <w:headerReference w:type="default" r:id="rId18"/>
      <w:headerReference w:type="first" r:id="rId19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6D" w:rsidRDefault="0001406D" w:rsidP="00981596">
      <w:pPr>
        <w:spacing w:line="240" w:lineRule="auto"/>
      </w:pPr>
      <w:r>
        <w:separator/>
      </w:r>
    </w:p>
  </w:endnote>
  <w:endnote w:type="continuationSeparator" w:id="0">
    <w:p w:rsidR="0001406D" w:rsidRDefault="0001406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29" w:rsidRDefault="004868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29" w:rsidRDefault="0048682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6D" w:rsidRDefault="0001406D" w:rsidP="00981596">
      <w:pPr>
        <w:spacing w:line="240" w:lineRule="auto"/>
      </w:pPr>
      <w:r>
        <w:separator/>
      </w:r>
    </w:p>
  </w:footnote>
  <w:footnote w:type="continuationSeparator" w:id="0">
    <w:p w:rsidR="0001406D" w:rsidRDefault="0001406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510A1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510A1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510A1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510A1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72C"/>
    <w:multiLevelType w:val="hybridMultilevel"/>
    <w:tmpl w:val="FDF8B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1406D"/>
    <w:rsid w:val="0003687B"/>
    <w:rsid w:val="000C03FF"/>
    <w:rsid w:val="000E14AC"/>
    <w:rsid w:val="000E34F5"/>
    <w:rsid w:val="001B78B6"/>
    <w:rsid w:val="00215BBE"/>
    <w:rsid w:val="00250018"/>
    <w:rsid w:val="002E7362"/>
    <w:rsid w:val="00346A49"/>
    <w:rsid w:val="003A108C"/>
    <w:rsid w:val="003B3A3E"/>
    <w:rsid w:val="0040357E"/>
    <w:rsid w:val="00407A06"/>
    <w:rsid w:val="0041134F"/>
    <w:rsid w:val="00432A07"/>
    <w:rsid w:val="004726B7"/>
    <w:rsid w:val="00486829"/>
    <w:rsid w:val="004939AA"/>
    <w:rsid w:val="004970A3"/>
    <w:rsid w:val="004A4D46"/>
    <w:rsid w:val="004E4800"/>
    <w:rsid w:val="004E5FE0"/>
    <w:rsid w:val="004F6B2E"/>
    <w:rsid w:val="00510A1B"/>
    <w:rsid w:val="00536E40"/>
    <w:rsid w:val="005544B9"/>
    <w:rsid w:val="006F7344"/>
    <w:rsid w:val="00751D0A"/>
    <w:rsid w:val="00752F24"/>
    <w:rsid w:val="00786C05"/>
    <w:rsid w:val="007A7675"/>
    <w:rsid w:val="007E3C6A"/>
    <w:rsid w:val="008155A0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D20394"/>
    <w:rsid w:val="00D208EB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D6F0871"/>
  <w15:docId w15:val="{768FC591-5D7A-4808-BD89-537569A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486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Pernille.my.pedersen@regionh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ofie.dill@regionh.dk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osth&#229;ndbogen.dk/content/dysfagidi%C3%A6t-kost-med-modificeret-konsisten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0CC4-FA4B-458F-9649-E0FE2E39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Marie-Louise Reitov Røhl</cp:lastModifiedBy>
  <cp:revision>2</cp:revision>
  <cp:lastPrinted>2013-11-20T12:56:00Z</cp:lastPrinted>
  <dcterms:created xsi:type="dcterms:W3CDTF">2018-06-18T09:58:00Z</dcterms:created>
  <dcterms:modified xsi:type="dcterms:W3CDTF">2018-06-18T09:58:00Z</dcterms:modified>
</cp:coreProperties>
</file>